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right="240"/>
      </w:pPr>
      <w:bookmarkStart w:id="0" w:name="_Toc66351509"/>
      <w:bookmarkStart w:id="1" w:name="_Toc66351473"/>
      <w:bookmarkStart w:id="2" w:name="_Toc66356425"/>
      <w:bookmarkStart w:id="3" w:name="_Toc66353040"/>
      <w:bookmarkStart w:id="4" w:name="_Toc57975283"/>
      <w:r>
        <w:rPr>
          <w:i/>
          <w:iCs/>
          <w:smallCaps/>
          <w:color w:val="1F497D" w:themeColor="text2"/>
          <w:spacing w:val="5"/>
          <w:szCs w:val="24"/>
          <w14:textFill>
            <w14:solidFill>
              <w14:schemeClr w14:val="tx2"/>
            </w14:solidFill>
          </w14:textFill>
        </w:rPr>
        <mc:AlternateContent>
          <mc:Choice Requires="wps">
            <w:drawing>
              <wp:anchor distT="0" distB="0" distL="114300" distR="114300" simplePos="0" relativeHeight="251670528" behindDoc="0" locked="0" layoutInCell="0" allowOverlap="1">
                <wp:simplePos x="0" y="0"/>
                <wp:positionH relativeFrom="margin">
                  <wp:posOffset>-823595</wp:posOffset>
                </wp:positionH>
                <wp:positionV relativeFrom="page">
                  <wp:posOffset>1299845</wp:posOffset>
                </wp:positionV>
                <wp:extent cx="7391400" cy="2438400"/>
                <wp:effectExtent l="0" t="0" r="0" b="0"/>
                <wp:wrapNone/>
                <wp:docPr id="73" name="矩形 89"/>
                <wp:cNvGraphicFramePr/>
                <a:graphic xmlns:a="http://schemas.openxmlformats.org/drawingml/2006/main">
                  <a:graphicData uri="http://schemas.microsoft.com/office/word/2010/wordprocessingShape">
                    <wps:wsp>
                      <wps:cNvSpPr>
                        <a:spLocks noChangeArrowheads="1"/>
                      </wps:cNvSpPr>
                      <wps:spPr bwMode="auto">
                        <a:xfrm>
                          <a:off x="0" y="0"/>
                          <a:ext cx="7391400" cy="2438400"/>
                        </a:xfrm>
                        <a:prstGeom prst="rect">
                          <a:avLst/>
                        </a:prstGeom>
                        <a:noFill/>
                        <a:ln>
                          <a:noFill/>
                        </a:ln>
                      </wps:spPr>
                      <wps:txbx>
                        <w:txbxContent>
                          <w:p>
                            <w:pPr>
                              <w:adjustRightInd w:val="0"/>
                              <w:snapToGrid w:val="0"/>
                              <w:spacing w:line="240" w:lineRule="auto"/>
                              <w:ind w:left="240" w:right="240" w:firstLine="0" w:firstLineChars="0"/>
                              <w:rPr>
                                <w:rFonts w:ascii="微软雅黑" w:hAnsi="微软雅黑" w:eastAsia="微软雅黑"/>
                                <w:b/>
                                <w:bCs/>
                                <w:color w:val="053985"/>
                                <w:sz w:val="80"/>
                                <w:szCs w:val="80"/>
                              </w:rPr>
                            </w:pPr>
                            <w:r>
                              <w:rPr>
                                <w:rFonts w:hint="eastAsia" w:ascii="微软雅黑" w:hAnsi="微软雅黑" w:eastAsia="微软雅黑"/>
                                <w:b/>
                                <w:bCs/>
                                <w:color w:val="053985"/>
                                <w:sz w:val="80"/>
                                <w:szCs w:val="80"/>
                              </w:rPr>
                              <w:t>稻米市场</w:t>
                            </w:r>
                          </w:p>
                          <w:p>
                            <w:pPr>
                              <w:spacing w:line="240" w:lineRule="auto"/>
                              <w:ind w:left="240" w:right="240" w:firstLine="0" w:firstLineChars="0"/>
                              <w:rPr>
                                <w:rFonts w:ascii="微软雅黑" w:hAnsi="微软雅黑" w:eastAsia="微软雅黑"/>
                                <w:b/>
                                <w:bCs/>
                                <w:color w:val="053985"/>
                                <w:sz w:val="80"/>
                                <w:szCs w:val="80"/>
                              </w:rPr>
                            </w:pPr>
                            <w:r>
                              <w:rPr>
                                <w:rFonts w:hint="eastAsia" w:ascii="微软雅黑" w:hAnsi="微软雅黑" w:eastAsia="微软雅黑"/>
                                <w:b/>
                                <w:bCs/>
                                <w:color w:val="053985"/>
                                <w:sz w:val="80"/>
                                <w:szCs w:val="80"/>
                              </w:rPr>
                              <w:t>周度报告</w:t>
                            </w:r>
                          </w:p>
                          <w:p>
                            <w:pPr>
                              <w:spacing w:line="240" w:lineRule="auto"/>
                              <w:ind w:left="240" w:right="240" w:firstLine="0" w:firstLineChars="0"/>
                              <w:rPr>
                                <w:rFonts w:ascii="微软雅黑" w:hAnsi="微软雅黑" w:eastAsia="微软雅黑" w:cstheme="majorBidi"/>
                                <w:b/>
                                <w:color w:val="053985"/>
                                <w:sz w:val="28"/>
                                <w:szCs w:val="28"/>
                              </w:rPr>
                            </w:pPr>
                            <w:r>
                              <w:rPr>
                                <w:rFonts w:hint="eastAsia" w:ascii="微软雅黑" w:hAnsi="微软雅黑" w:eastAsia="微软雅黑"/>
                                <w:b/>
                                <w:bCs/>
                                <w:color w:val="053985"/>
                                <w:sz w:val="28"/>
                                <w:szCs w:val="28"/>
                              </w:rPr>
                              <w:t>（2</w:t>
                            </w:r>
                            <w:r>
                              <w:rPr>
                                <w:rFonts w:ascii="微软雅黑" w:hAnsi="微软雅黑" w:eastAsia="微软雅黑"/>
                                <w:b/>
                                <w:bCs/>
                                <w:color w:val="053985"/>
                                <w:sz w:val="28"/>
                                <w:szCs w:val="28"/>
                              </w:rPr>
                              <w:t>022.3.</w:t>
                            </w:r>
                            <w:r>
                              <w:rPr>
                                <w:rFonts w:hint="eastAsia" w:ascii="微软雅黑" w:hAnsi="微软雅黑" w:eastAsia="微软雅黑"/>
                                <w:b/>
                                <w:bCs/>
                                <w:color w:val="053985"/>
                                <w:sz w:val="28"/>
                                <w:szCs w:val="28"/>
                              </w:rPr>
                              <w:t>3</w:t>
                            </w:r>
                            <w:r>
                              <w:rPr>
                                <w:rFonts w:ascii="微软雅黑" w:hAnsi="微软雅黑" w:eastAsia="微软雅黑"/>
                                <w:b/>
                                <w:bCs/>
                                <w:color w:val="053985"/>
                                <w:sz w:val="28"/>
                                <w:szCs w:val="28"/>
                              </w:rPr>
                              <w:t>-2022.3.10</w:t>
                            </w:r>
                            <w:r>
                              <w:rPr>
                                <w:rFonts w:hint="eastAsia" w:ascii="微软雅黑" w:hAnsi="微软雅黑" w:eastAsia="微软雅黑"/>
                                <w:b/>
                                <w:bCs/>
                                <w:color w:val="053985"/>
                                <w:sz w:val="28"/>
                                <w:szCs w:val="28"/>
                              </w:rPr>
                              <w:t>）</w:t>
                            </w:r>
                          </w:p>
                          <w:p>
                            <w:pPr>
                              <w:adjustRightInd w:val="0"/>
                              <w:snapToGrid w:val="0"/>
                              <w:spacing w:line="240" w:lineRule="auto"/>
                              <w:ind w:left="240" w:right="240" w:firstLine="0" w:firstLineChars="0"/>
                              <w:rPr>
                                <w:rFonts w:ascii="微软雅黑" w:hAnsi="微软雅黑" w:eastAsia="微软雅黑"/>
                                <w:b/>
                                <w:bCs/>
                                <w:color w:val="0C8A67"/>
                                <w:sz w:val="80"/>
                                <w:szCs w:val="80"/>
                              </w:rPr>
                            </w:pPr>
                          </w:p>
                          <w:p>
                            <w:pPr>
                              <w:spacing w:line="240" w:lineRule="auto"/>
                              <w:ind w:left="240" w:right="240" w:firstLine="0" w:firstLineChars="0"/>
                              <w:rPr>
                                <w:rFonts w:ascii="微软雅黑" w:hAnsi="微软雅黑" w:eastAsia="微软雅黑" w:cstheme="majorBidi"/>
                                <w:b/>
                                <w:color w:val="008000"/>
                                <w:sz w:val="48"/>
                                <w:szCs w:val="48"/>
                              </w:rPr>
                            </w:pPr>
                            <w:r>
                              <w:rPr>
                                <w:rFonts w:hint="eastAsia" w:ascii="微软雅黑" w:hAnsi="微软雅黑" w:eastAsia="微软雅黑" w:cstheme="majorBidi"/>
                                <w:b/>
                                <w:color w:val="008000"/>
                                <w:sz w:val="48"/>
                                <w:szCs w:val="48"/>
                              </w:rPr>
                              <w:t xml:space="preserve"> </w:t>
                            </w:r>
                          </w:p>
                          <w:p>
                            <w:pPr>
                              <w:spacing w:line="240" w:lineRule="auto"/>
                              <w:ind w:left="240" w:right="240" w:firstLine="560"/>
                              <w:rPr>
                                <w:i/>
                                <w:iCs/>
                                <w:color w:val="632523" w:themeColor="accent2" w:themeShade="80"/>
                                <w:sz w:val="28"/>
                                <w:szCs w:val="28"/>
                              </w:rPr>
                            </w:pPr>
                          </w:p>
                          <w:p>
                            <w:pPr>
                              <w:spacing w:line="240" w:lineRule="auto"/>
                              <w:ind w:left="240" w:right="240"/>
                            </w:pPr>
                          </w:p>
                        </w:txbxContent>
                      </wps:txbx>
                      <wps:bodyPr rot="0" vert="horz" wrap="square" lIns="91440" tIns="45720" rIns="91440" bIns="45720" anchor="ctr" anchorCtr="0" upright="1">
                        <a:noAutofit/>
                      </wps:bodyPr>
                    </wps:wsp>
                  </a:graphicData>
                </a:graphic>
              </wp:anchor>
            </w:drawing>
          </mc:Choice>
          <mc:Fallback>
            <w:pict>
              <v:rect id="矩形 89" o:spid="_x0000_s1026" o:spt="1" style="position:absolute;left:0pt;margin-left:-64.85pt;margin-top:102.35pt;height:192pt;width:582pt;mso-position-horizontal-relative:margin;mso-position-vertical-relative:page;z-index:251670528;v-text-anchor:middle;mso-width-relative:page;mso-height-relative:page;" filled="f" stroked="f" coordsize="21600,21600" o:allowincell="f" o:gfxdata="UEsDBAoAAAAAAIdO4kAAAAAAAAAAAAAAAAAEAAAAZHJzL1BLAwQUAAAACACHTuJAYqclSNgAAAAN&#10;AQAADwAAAGRycy9kb3ducmV2LnhtbE2Py07DMBBF90j8gzVI7FrbaaEhxKlEUTfsKEhsp/E0jvAj&#10;it00/D3uCnYzmqM759bb2Vk20Rj74BXIpQBGvg26952Cz4/9ogQWE3qNNnhS8EMRts3tTY2VDhf/&#10;TtMhdSyH+FihApPSUHEeW0MO4zIM5PPtFEaHKa9jx/WIlxzuLC+EeOQOe58/GBxoZ6j9Ppydgvnl&#10;C3mwhk7InXib9vJV7qxS93dSPANLNKc/GK76WR2a7HQMZ68jswoWsnjaZFZBIdZ5uCJitV4BOyp4&#10;KMsN8Kbm/1s0v1BLAwQUAAAACACHTuJAhWgVePMBAAC/AwAADgAAAGRycy9lMm9Eb2MueG1srVPb&#10;jtMwEH1H4h8sv9P0BtuNmq5Wu1qEtMBKCx8wdZzGIvGYsduk/AwSb3wEn4P4DcZOt9uFN8SLlbn4&#10;+Jwzk+VF3zZip8kbtIWcjMZSaKuwNHZTyI8fbl4spPABbAkNWl3IvfbyYvX82bJzuZ5ijU2pSTCI&#10;9XnnClmH4PIs86rWLfgROm25WCG1EDikTVYSdIzeNtl0PH6VdUilI1Tae85eD0W5SvhVpVV4X1Ve&#10;B9EUkrmFdFI61/HMVkvINwSuNupAA/6BRQvG8qNHqGsIILZk/oJqjSL0WIWRwjbDqjJKJw2sZjL+&#10;Q819DU4nLWyOd0eb/P+DVe92dyRMWcizmRQWWp7Rr6/ff/74Jhbn0Z3O+Zyb7t0dRX3e3aL65IXF&#10;qxrsRl8SYVdrKJnTJPZnTy7EwPNVse7eYsnYsA2YjOoraiMgWyD6NI/9cR66D0Jx8mx2PpmPeWyK&#10;a9P5bBGD+AbkD9cd+fBaYyviRyGJB57gYXfrw9D60BJfs3hjmobzkDf2SYIxYybRj4wH5aFf99wd&#10;Zayx3LMQwmGHeOf5o0b6IkXH+1NI/3kLpKVo3lg2g5nP48KlYP7ybMoBnVbWpxWwiqEKqQJJMQRX&#10;YVjTrSOzqfmtSRJm8ZItrEwS98jrwJy3JNlz2Oi4hqdx6nr87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nJUjYAAAADQEAAA8AAAAAAAAAAQAgAAAAIgAAAGRycy9kb3ducmV2LnhtbFBLAQIU&#10;ABQAAAAIAIdO4kCFaBV48wEAAL8DAAAOAAAAAAAAAAEAIAAAACcBAABkcnMvZTJvRG9jLnhtbFBL&#10;BQYAAAAABgAGAFkBAACMBQAAAAA=&#10;">
                <v:fill on="f" focussize="0,0"/>
                <v:stroke on="f"/>
                <v:imagedata o:title=""/>
                <o:lock v:ext="edit" aspectratio="f"/>
                <v:textbox>
                  <w:txbxContent>
                    <w:p>
                      <w:pPr>
                        <w:adjustRightInd w:val="0"/>
                        <w:snapToGrid w:val="0"/>
                        <w:spacing w:line="240" w:lineRule="auto"/>
                        <w:ind w:left="240" w:right="240" w:firstLine="0" w:firstLineChars="0"/>
                        <w:rPr>
                          <w:rFonts w:ascii="微软雅黑" w:hAnsi="微软雅黑" w:eastAsia="微软雅黑"/>
                          <w:b/>
                          <w:bCs/>
                          <w:color w:val="053985"/>
                          <w:sz w:val="80"/>
                          <w:szCs w:val="80"/>
                        </w:rPr>
                      </w:pPr>
                      <w:r>
                        <w:rPr>
                          <w:rFonts w:hint="eastAsia" w:ascii="微软雅黑" w:hAnsi="微软雅黑" w:eastAsia="微软雅黑"/>
                          <w:b/>
                          <w:bCs/>
                          <w:color w:val="053985"/>
                          <w:sz w:val="80"/>
                          <w:szCs w:val="80"/>
                        </w:rPr>
                        <w:t>稻米市场</w:t>
                      </w:r>
                    </w:p>
                    <w:p>
                      <w:pPr>
                        <w:spacing w:line="240" w:lineRule="auto"/>
                        <w:ind w:left="240" w:right="240" w:firstLine="0" w:firstLineChars="0"/>
                        <w:rPr>
                          <w:rFonts w:ascii="微软雅黑" w:hAnsi="微软雅黑" w:eastAsia="微软雅黑"/>
                          <w:b/>
                          <w:bCs/>
                          <w:color w:val="053985"/>
                          <w:sz w:val="80"/>
                          <w:szCs w:val="80"/>
                        </w:rPr>
                      </w:pPr>
                      <w:r>
                        <w:rPr>
                          <w:rFonts w:hint="eastAsia" w:ascii="微软雅黑" w:hAnsi="微软雅黑" w:eastAsia="微软雅黑"/>
                          <w:b/>
                          <w:bCs/>
                          <w:color w:val="053985"/>
                          <w:sz w:val="80"/>
                          <w:szCs w:val="80"/>
                        </w:rPr>
                        <w:t>周度报告</w:t>
                      </w:r>
                    </w:p>
                    <w:p>
                      <w:pPr>
                        <w:spacing w:line="240" w:lineRule="auto"/>
                        <w:ind w:left="240" w:right="240" w:firstLine="0" w:firstLineChars="0"/>
                        <w:rPr>
                          <w:rFonts w:ascii="微软雅黑" w:hAnsi="微软雅黑" w:eastAsia="微软雅黑" w:cstheme="majorBidi"/>
                          <w:b/>
                          <w:color w:val="053985"/>
                          <w:sz w:val="28"/>
                          <w:szCs w:val="28"/>
                        </w:rPr>
                      </w:pPr>
                      <w:r>
                        <w:rPr>
                          <w:rFonts w:hint="eastAsia" w:ascii="微软雅黑" w:hAnsi="微软雅黑" w:eastAsia="微软雅黑"/>
                          <w:b/>
                          <w:bCs/>
                          <w:color w:val="053985"/>
                          <w:sz w:val="28"/>
                          <w:szCs w:val="28"/>
                        </w:rPr>
                        <w:t>（2</w:t>
                      </w:r>
                      <w:r>
                        <w:rPr>
                          <w:rFonts w:ascii="微软雅黑" w:hAnsi="微软雅黑" w:eastAsia="微软雅黑"/>
                          <w:b/>
                          <w:bCs/>
                          <w:color w:val="053985"/>
                          <w:sz w:val="28"/>
                          <w:szCs w:val="28"/>
                        </w:rPr>
                        <w:t>022.3.</w:t>
                      </w:r>
                      <w:r>
                        <w:rPr>
                          <w:rFonts w:hint="eastAsia" w:ascii="微软雅黑" w:hAnsi="微软雅黑" w:eastAsia="微软雅黑"/>
                          <w:b/>
                          <w:bCs/>
                          <w:color w:val="053985"/>
                          <w:sz w:val="28"/>
                          <w:szCs w:val="28"/>
                        </w:rPr>
                        <w:t>3</w:t>
                      </w:r>
                      <w:r>
                        <w:rPr>
                          <w:rFonts w:ascii="微软雅黑" w:hAnsi="微软雅黑" w:eastAsia="微软雅黑"/>
                          <w:b/>
                          <w:bCs/>
                          <w:color w:val="053985"/>
                          <w:sz w:val="28"/>
                          <w:szCs w:val="28"/>
                        </w:rPr>
                        <w:t>-2022.3.10</w:t>
                      </w:r>
                      <w:r>
                        <w:rPr>
                          <w:rFonts w:hint="eastAsia" w:ascii="微软雅黑" w:hAnsi="微软雅黑" w:eastAsia="微软雅黑"/>
                          <w:b/>
                          <w:bCs/>
                          <w:color w:val="053985"/>
                          <w:sz w:val="28"/>
                          <w:szCs w:val="28"/>
                        </w:rPr>
                        <w:t>）</w:t>
                      </w:r>
                    </w:p>
                    <w:p>
                      <w:pPr>
                        <w:adjustRightInd w:val="0"/>
                        <w:snapToGrid w:val="0"/>
                        <w:spacing w:line="240" w:lineRule="auto"/>
                        <w:ind w:left="240" w:right="240" w:firstLine="0" w:firstLineChars="0"/>
                        <w:rPr>
                          <w:rFonts w:ascii="微软雅黑" w:hAnsi="微软雅黑" w:eastAsia="微软雅黑"/>
                          <w:b/>
                          <w:bCs/>
                          <w:color w:val="0C8A67"/>
                          <w:sz w:val="80"/>
                          <w:szCs w:val="80"/>
                        </w:rPr>
                      </w:pPr>
                    </w:p>
                    <w:p>
                      <w:pPr>
                        <w:spacing w:line="240" w:lineRule="auto"/>
                        <w:ind w:left="240" w:right="240" w:firstLine="0" w:firstLineChars="0"/>
                        <w:rPr>
                          <w:rFonts w:ascii="微软雅黑" w:hAnsi="微软雅黑" w:eastAsia="微软雅黑" w:cstheme="majorBidi"/>
                          <w:b/>
                          <w:color w:val="008000"/>
                          <w:sz w:val="48"/>
                          <w:szCs w:val="48"/>
                        </w:rPr>
                      </w:pPr>
                      <w:r>
                        <w:rPr>
                          <w:rFonts w:hint="eastAsia" w:ascii="微软雅黑" w:hAnsi="微软雅黑" w:eastAsia="微软雅黑" w:cstheme="majorBidi"/>
                          <w:b/>
                          <w:color w:val="008000"/>
                          <w:sz w:val="48"/>
                          <w:szCs w:val="48"/>
                        </w:rPr>
                        <w:t xml:space="preserve"> </w:t>
                      </w:r>
                    </w:p>
                    <w:p>
                      <w:pPr>
                        <w:spacing w:line="240" w:lineRule="auto"/>
                        <w:ind w:left="240" w:right="240" w:firstLine="560"/>
                        <w:rPr>
                          <w:i/>
                          <w:iCs/>
                          <w:color w:val="632523" w:themeColor="accent2" w:themeShade="80"/>
                          <w:sz w:val="28"/>
                          <w:szCs w:val="28"/>
                        </w:rPr>
                      </w:pPr>
                    </w:p>
                    <w:p>
                      <w:pPr>
                        <w:spacing w:line="240" w:lineRule="auto"/>
                        <w:ind w:left="240" w:right="240"/>
                      </w:pPr>
                    </w:p>
                  </w:txbxContent>
                </v:textbox>
              </v:rect>
            </w:pict>
          </mc:Fallback>
        </mc:AlternateContent>
      </w:r>
    </w:p>
    <w:sdt>
      <w:sdtPr>
        <w:id w:val="-689369987"/>
      </w:sdtPr>
      <w:sdtEndPr>
        <w:rPr>
          <w:i/>
          <w:iCs/>
          <w:smallCaps/>
          <w:color w:val="1F497D" w:themeColor="text2"/>
          <w:spacing w:val="5"/>
          <w:szCs w:val="24"/>
          <w14:textFill>
            <w14:solidFill>
              <w14:schemeClr w14:val="tx2"/>
            </w14:solidFill>
          </w14:textFill>
        </w:rPr>
      </w:sdtEndPr>
      <w:sdtContent>
        <w:p>
          <w:pPr>
            <w:ind w:left="240" w:right="240" w:firstLine="0" w:firstLineChars="0"/>
          </w:pPr>
          <w:r>
            <mc:AlternateContent>
              <mc:Choice Requires="wps">
                <w:drawing>
                  <wp:anchor distT="0" distB="0" distL="114300" distR="114300" simplePos="0" relativeHeight="251653120" behindDoc="0" locked="0" layoutInCell="1" allowOverlap="1">
                    <wp:simplePos x="0" y="0"/>
                    <wp:positionH relativeFrom="column">
                      <wp:posOffset>1273810</wp:posOffset>
                    </wp:positionH>
                    <wp:positionV relativeFrom="paragraph">
                      <wp:posOffset>6716395</wp:posOffset>
                    </wp:positionV>
                    <wp:extent cx="4765675" cy="53784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65675" cy="537807"/>
                            </a:xfrm>
                            <a:prstGeom prst="rect">
                              <a:avLst/>
                            </a:prstGeom>
                            <a:noFill/>
                            <a:ln w="9525">
                              <a:noFill/>
                              <a:miter lim="800000"/>
                            </a:ln>
                          </wps:spPr>
                          <wps:txbx>
                            <w:txbxContent>
                              <w:p>
                                <w:pPr>
                                  <w:adjustRightInd w:val="0"/>
                                  <w:snapToGrid w:val="0"/>
                                  <w:spacing w:line="240" w:lineRule="auto"/>
                                  <w:ind w:left="240" w:right="240" w:firstLine="0" w:firstLineChars="0"/>
                                  <w:rPr>
                                    <w:rFonts w:ascii="微软雅黑" w:hAnsi="微软雅黑" w:eastAsia="微软雅黑"/>
                                    <w:b/>
                                    <w:bCs/>
                                    <w:color w:val="808080" w:themeColor="text1" w:themeTint="80"/>
                                    <w:sz w:val="34"/>
                                    <w:szCs w:val="34"/>
                                    <w14:textFill>
                                      <w14:solidFill>
                                        <w14:schemeClr w14:val="tx1">
                                          <w14:lumMod w14:val="50000"/>
                                          <w14:lumOff w14:val="50000"/>
                                        </w14:schemeClr>
                                      </w14:solidFill>
                                    </w14:textFill>
                                  </w:rPr>
                                </w:pPr>
                                <w:r>
                                  <w:rPr>
                                    <w:rFonts w:hint="eastAsia" w:ascii="微软雅黑" w:hAnsi="微软雅黑" w:eastAsia="微软雅黑"/>
                                    <w:b/>
                                    <w:bCs/>
                                    <w:color w:val="808080" w:themeColor="text1" w:themeTint="80"/>
                                    <w:sz w:val="34"/>
                                    <w:szCs w:val="34"/>
                                    <w14:textFill>
                                      <w14:solidFill>
                                        <w14:schemeClr w14:val="tx1">
                                          <w14:lumMod w14:val="50000"/>
                                          <w14:lumOff w14:val="50000"/>
                                        </w14:schemeClr>
                                      </w14:solidFill>
                                    </w14:textFill>
                                  </w:rPr>
                                  <w:t>Mysteel农产品</w:t>
                                </w:r>
                              </w:p>
                              <w:p>
                                <w:pPr>
                                  <w:adjustRightInd w:val="0"/>
                                  <w:snapToGrid w:val="0"/>
                                  <w:ind w:left="240" w:right="240"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ind w:left="240" w:right="240"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ind w:left="240" w:right="240" w:firstLine="0" w:firstLineChars="0"/>
                                  <w:rPr>
                                    <w:rFonts w:ascii="微软雅黑" w:hAnsi="微软雅黑" w:eastAsia="微软雅黑"/>
                                    <w:bCs/>
                                    <w:color w:val="000000" w:themeColor="text1"/>
                                    <w:sz w:val="34"/>
                                    <w:szCs w:val="34"/>
                                    <w14:textFill>
                                      <w14:solidFill>
                                        <w14:schemeClr w14:val="tx1"/>
                                      </w14:solidFill>
                                    </w14:textFill>
                                  </w:rPr>
                                </w:pPr>
                              </w:p>
                              <w:p>
                                <w:pPr>
                                  <w:adjustRightInd w:val="0"/>
                                  <w:snapToGrid w:val="0"/>
                                  <w:ind w:left="240" w:right="240" w:firstLine="0" w:firstLineChars="0"/>
                                  <w:rPr>
                                    <w:rFonts w:ascii="微软雅黑" w:hAnsi="微软雅黑" w:eastAsia="微软雅黑"/>
                                    <w:bCs/>
                                    <w:color w:val="000000" w:themeColor="text1"/>
                                    <w:sz w:val="34"/>
                                    <w:szCs w:val="34"/>
                                    <w14:textFill>
                                      <w14:solidFill>
                                        <w14:schemeClr w14:val="tx1"/>
                                      </w14:solidFill>
                                    </w14:textFill>
                                  </w:rPr>
                                </w:pPr>
                              </w:p>
                              <w:p>
                                <w:pPr>
                                  <w:ind w:left="240" w:right="240"/>
                                  <w:rPr>
                                    <w:color w:val="000000" w:themeColor="text1"/>
                                    <w14:textFill>
                                      <w14:solidFill>
                                        <w14:schemeClr w14:val="tx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0.3pt;margin-top:528.85pt;height:42.35pt;width:375.25pt;z-index:251653120;mso-width-relative:page;mso-height-relative:page;" filled="f" stroked="f" coordsize="21600,21600" o:gfxdata="UEsDBAoAAAAAAIdO4kAAAAAAAAAAAAAAAAAEAAAAZHJzL1BLAwQUAAAACACHTuJAXuEa49gAAAAN&#10;AQAADwAAAGRycy9kb3ducmV2LnhtbE2PTU/DMAyG70j8h8hI3FiSqWVbaboDiCuI8SHtljVeW9E4&#10;VZOt5d/jneBov68ePy63s+/FGcfYBTKgFwoEUh1cR42Bj/fnuzWImCw52wdCAz8YYVtdX5W2cGGi&#10;NzzvUiMYQrGwBtqUhkLKWLfobVyEAYmzYxi9TTyOjXSjnRjue7lU6l562xFfaO2Ajy3W37uTN/D5&#10;ctx/Zeq1efL5MIVZSfIbacztjVYPIBLO6a8MF31Wh4qdDuFELorewIXOVQ5UvlqB4Mom1xrEgVc6&#10;W2Ygq1L+/6L6BVBLAwQUAAAACACHTuJA3jTQ/QoCAADdAwAADgAAAGRycy9lMm9Eb2MueG1srVPN&#10;jtMwEL4j8Q6W7zRpt2m7UdPVsqtFSMuPtPAAruM0FrbH2G6T8gDwBpy4cOe5+hyMnW63ghsiB8vj&#10;mflmvpkvy6teK7ITzkswFR2PckqE4VBLs6noxw93LxaU+MBMzRQYUdG98PRq9fzZsrOlmEALqhaO&#10;IIjxZWcr2oZgyyzzvBWa+RFYYdDZgNMsoOk2We1Yh+haZZM8n2UduNo64MJ7fL0dnHSV8JtG8PCu&#10;abwIRFUUewvpdOlcxzNbLVm5ccy2kh/bYP/QhWbSYNET1C0LjGyd/AtKS+7AQxNGHHQGTSO5SByQ&#10;zTj/g81Dy6xIXHA43p7G5P8fLH+7e++IrCt6kc8pMUzjkg7fvx1+/Dr8/EomcUCd9SXGPViMDP1L&#10;6HHRiay398A/eWLgpmVmI66dg64VrMYGxzEzO0sdcHwEWXdvoMY6bBsgAfWN03F6OA+C6Lio/Wk5&#10;og+E4+N0Pitm84ISjr7iYr7AfmMJVj5mW+fDKwGaxEtFHS4/obPdvQ9D6GNILGbgTiqF76xUhnQV&#10;vSwmRUo482gZUJ9K6oou8vgdaypzZBcJDdRCv+4RLVJeQ71Hng4GveH/gZcW3BdKOtRaRf3nLXOC&#10;EvXa4Kwux9NpFGcypsV8goY796zPPcxwhKpooGS43oQk6IHTNc60kYnuUyfHXlFDaWBHvUeRntsp&#10;6umvX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uEa49gAAAANAQAADwAAAAAAAAABACAAAAAi&#10;AAAAZHJzL2Rvd25yZXYueG1sUEsBAhQAFAAAAAgAh07iQN400P0KAgAA3QMAAA4AAAAAAAAAAQAg&#10;AAAAJwEAAGRycy9lMm9Eb2MueG1sUEsFBgAAAAAGAAYAWQEAAKMFAAAAAA==&#10;">
                    <v:fill on="f" focussize="0,0"/>
                    <v:stroke on="f" miterlimit="8" joinstyle="miter"/>
                    <v:imagedata o:title=""/>
                    <o:lock v:ext="edit" aspectratio="f"/>
                    <v:textbox>
                      <w:txbxContent>
                        <w:p>
                          <w:pPr>
                            <w:adjustRightInd w:val="0"/>
                            <w:snapToGrid w:val="0"/>
                            <w:spacing w:line="240" w:lineRule="auto"/>
                            <w:ind w:left="240" w:right="240" w:firstLine="0" w:firstLineChars="0"/>
                            <w:rPr>
                              <w:rFonts w:ascii="微软雅黑" w:hAnsi="微软雅黑" w:eastAsia="微软雅黑"/>
                              <w:b/>
                              <w:bCs/>
                              <w:color w:val="808080" w:themeColor="text1" w:themeTint="80"/>
                              <w:sz w:val="34"/>
                              <w:szCs w:val="34"/>
                              <w14:textFill>
                                <w14:solidFill>
                                  <w14:schemeClr w14:val="tx1">
                                    <w14:lumMod w14:val="50000"/>
                                    <w14:lumOff w14:val="50000"/>
                                  </w14:schemeClr>
                                </w14:solidFill>
                              </w14:textFill>
                            </w:rPr>
                          </w:pPr>
                          <w:r>
                            <w:rPr>
                              <w:rFonts w:hint="eastAsia" w:ascii="微软雅黑" w:hAnsi="微软雅黑" w:eastAsia="微软雅黑"/>
                              <w:b/>
                              <w:bCs/>
                              <w:color w:val="808080" w:themeColor="text1" w:themeTint="80"/>
                              <w:sz w:val="34"/>
                              <w:szCs w:val="34"/>
                              <w14:textFill>
                                <w14:solidFill>
                                  <w14:schemeClr w14:val="tx1">
                                    <w14:lumMod w14:val="50000"/>
                                    <w14:lumOff w14:val="50000"/>
                                  </w14:schemeClr>
                                </w14:solidFill>
                              </w14:textFill>
                            </w:rPr>
                            <w:t>Mysteel农产品</w:t>
                          </w:r>
                        </w:p>
                        <w:p>
                          <w:pPr>
                            <w:adjustRightInd w:val="0"/>
                            <w:snapToGrid w:val="0"/>
                            <w:ind w:left="240" w:right="240"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ind w:left="240" w:right="240"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ind w:left="240" w:right="240" w:firstLine="0" w:firstLineChars="0"/>
                            <w:rPr>
                              <w:rFonts w:ascii="微软雅黑" w:hAnsi="微软雅黑" w:eastAsia="微软雅黑"/>
                              <w:bCs/>
                              <w:color w:val="000000" w:themeColor="text1"/>
                              <w:sz w:val="34"/>
                              <w:szCs w:val="34"/>
                              <w14:textFill>
                                <w14:solidFill>
                                  <w14:schemeClr w14:val="tx1"/>
                                </w14:solidFill>
                              </w14:textFill>
                            </w:rPr>
                          </w:pPr>
                        </w:p>
                        <w:p>
                          <w:pPr>
                            <w:adjustRightInd w:val="0"/>
                            <w:snapToGrid w:val="0"/>
                            <w:ind w:left="240" w:right="240" w:firstLine="0" w:firstLineChars="0"/>
                            <w:rPr>
                              <w:rFonts w:ascii="微软雅黑" w:hAnsi="微软雅黑" w:eastAsia="微软雅黑"/>
                              <w:bCs/>
                              <w:color w:val="000000" w:themeColor="text1"/>
                              <w:sz w:val="34"/>
                              <w:szCs w:val="34"/>
                              <w14:textFill>
                                <w14:solidFill>
                                  <w14:schemeClr w14:val="tx1"/>
                                </w14:solidFill>
                              </w14:textFill>
                            </w:rPr>
                          </w:pPr>
                        </w:p>
                        <w:p>
                          <w:pPr>
                            <w:ind w:left="240" w:right="240"/>
                            <w:rPr>
                              <w:color w:val="000000" w:themeColor="text1"/>
                              <w14:textFill>
                                <w14:solidFill>
                                  <w14:schemeClr w14:val="tx1"/>
                                </w14:solidFill>
                              </w14:textFill>
                            </w:rPr>
                          </w:pPr>
                        </w:p>
                      </w:txbxContent>
                    </v:textbox>
                  </v:shape>
                </w:pict>
              </mc:Fallback>
            </mc:AlternateContent>
          </w:r>
        </w:p>
      </w:sdtContent>
    </w:sdt>
    <w:p>
      <w:pPr>
        <w:ind w:left="240" w:right="240"/>
        <w:jc w:val="center"/>
        <w:rPr>
          <w:b/>
          <w:bCs/>
          <w:sz w:val="44"/>
          <w:szCs w:val="44"/>
        </w:rPr>
      </w:pPr>
      <w:bookmarkStart w:id="5" w:name="_Toc66366620"/>
      <w:bookmarkStart w:id="6" w:name="_Toc66366822"/>
      <w:r>
        <w:rPr>
          <w:i/>
          <w:iCs/>
          <w:smallCaps/>
          <w:color w:val="1F497D" w:themeColor="text2"/>
          <w:spacing w:val="5"/>
          <w:szCs w:val="24"/>
          <w14:textFill>
            <w14:solidFill>
              <w14:schemeClr w14:val="tx2"/>
            </w14:solidFill>
          </w14:textFill>
        </w:rPr>
        <w:drawing>
          <wp:anchor distT="0" distB="0" distL="114300" distR="114300" simplePos="0" relativeHeight="251668480" behindDoc="1" locked="0" layoutInCell="1" allowOverlap="1">
            <wp:simplePos x="0" y="0"/>
            <wp:positionH relativeFrom="column">
              <wp:posOffset>-885825</wp:posOffset>
            </wp:positionH>
            <wp:positionV relativeFrom="paragraph">
              <wp:posOffset>-1594485</wp:posOffset>
            </wp:positionV>
            <wp:extent cx="7495540" cy="10490835"/>
            <wp:effectExtent l="0" t="0" r="0" b="6350"/>
            <wp:wrapNone/>
            <wp:docPr id="9" name="图片 9" descr="F:\1设计素材\Word封面\115.pn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设计素材\Word封面\115.png115"/>
                    <pic:cNvPicPr>
                      <a:picLocks noChangeAspect="1"/>
                    </pic:cNvPicPr>
                  </pic:nvPicPr>
                  <pic:blipFill>
                    <a:blip r:embed="rId14"/>
                    <a:srcRect/>
                    <a:stretch>
                      <a:fillRect/>
                    </a:stretch>
                  </pic:blipFill>
                  <pic:spPr>
                    <a:xfrm>
                      <a:off x="0" y="0"/>
                      <a:ext cx="7497218" cy="10492872"/>
                    </a:xfrm>
                    <a:prstGeom prst="rect">
                      <a:avLst/>
                    </a:prstGeom>
                  </pic:spPr>
                </pic:pic>
              </a:graphicData>
            </a:graphic>
          </wp:anchor>
        </w:drawing>
      </w:r>
    </w:p>
    <w:p>
      <w:pPr>
        <w:ind w:left="240" w:right="240" w:firstLine="883"/>
        <w:jc w:val="center"/>
        <w:rPr>
          <w:b/>
          <w:bCs/>
          <w:sz w:val="44"/>
          <w:szCs w:val="44"/>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r>
        <mc:AlternateContent>
          <mc:Choice Requires="wps">
            <w:drawing>
              <wp:anchor distT="0" distB="0" distL="114300" distR="114300" simplePos="0" relativeHeight="251661312" behindDoc="0" locked="0" layoutInCell="1" allowOverlap="1">
                <wp:simplePos x="0" y="0"/>
                <wp:positionH relativeFrom="column">
                  <wp:posOffset>3910330</wp:posOffset>
                </wp:positionH>
                <wp:positionV relativeFrom="paragraph">
                  <wp:posOffset>319405</wp:posOffset>
                </wp:positionV>
                <wp:extent cx="2588260" cy="1177290"/>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88260" cy="1177290"/>
                        </a:xfrm>
                        <a:prstGeom prst="rect">
                          <a:avLst/>
                        </a:prstGeom>
                        <a:noFill/>
                        <a:ln w="9525">
                          <a:noFill/>
                          <a:miter lim="800000"/>
                        </a:ln>
                      </wps:spPr>
                      <wps:txbx>
                        <w:txbxContent>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lang w:val="en-US" w:eastAsia="zh-CN"/>
                                <w14:textFill>
                                  <w14:solidFill>
                                    <w14:schemeClr w14:val="tx1">
                                      <w14:lumMod w14:val="50000"/>
                                      <w14:lumOff w14:val="50000"/>
                                    </w14:schemeClr>
                                  </w14:solidFill>
                                </w14:textFill>
                              </w:rPr>
                              <w:t>电话</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0533-7026579</w:t>
                            </w:r>
                          </w:p>
                          <w:p>
                            <w:pPr>
                              <w:adjustRightInd w:val="0"/>
                              <w:snapToGrid w:val="0"/>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传真： 0533-26093064</w:t>
                            </w:r>
                          </w:p>
                          <w:p>
                            <w:pPr>
                              <w:ind w:left="240" w:right="240"/>
                              <w:jc w:val="both"/>
                              <w:rPr>
                                <w:color w:val="808080" w:themeColor="text1" w:themeTint="80"/>
                                <w14:textFill>
                                  <w14:solidFill>
                                    <w14:schemeClr w14:val="tx1">
                                      <w14:lumMod w14:val="50000"/>
                                      <w14:lumOff w14:val="50000"/>
                                    </w14:schemeClr>
                                  </w14:solidFill>
                                </w14:textFill>
                              </w:rPr>
                            </w:pPr>
                          </w:p>
                          <w:p>
                            <w:pPr>
                              <w:ind w:left="240" w:right="240"/>
                              <w:rPr>
                                <w:color w:val="808080" w:themeColor="text1" w:themeTint="80"/>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7.9pt;margin-top:25.15pt;height:92.7pt;width:203.8pt;z-index:251661312;mso-width-relative:page;mso-height-relative:page;" filled="f" stroked="f" coordsize="21600,21600" o:gfxdata="UEsDBAoAAAAAAIdO4kAAAAAAAAAAAAAAAAAEAAAAZHJzL1BLAwQUAAAACACHTuJAbV88zNgAAAAL&#10;AQAADwAAAGRycy9kb3ducmV2LnhtbE2PwU7DMBBE70j8g7VI3KidpCkQsukBxBVEgUq9ufE2iYjX&#10;Uew24e9xT/Q4mtHMm3I9216caPSdY4RkoUAQ18503CB8fb7ePYDwQbPRvWNC+CUP6+r6qtSFcRN/&#10;0GkTGhFL2BcaoQ1hKKT0dUtW+4UbiKN3cKPVIcqxkWbUUyy3vUyVWkmrO44LrR7ouaX6Z3O0CN9v&#10;h912qd6bF5sPk5uVZPsoEW9vEvUEItAc/sNwxo/oUEWmvTuy8aJHWCV5RA8IucpAnAMqzZYg9ghp&#10;lt+DrEp5+aH6A1BLAwQUAAAACACHTuJAY5t1KwkCAADcAwAADgAAAGRycy9lMm9Eb2MueG1srVPB&#10;jtMwEL0j8Q+W7zRNaLdt1HS17GoR0gIrLXyA6ziNhe0xttukfAD8AScu3Pe7+h2MnW6p4IbIwfJk&#10;PM/z3jwvL3utyE44L8FUNB+NKRGGQy3NpqIfP9y+mFPiAzM1U2BERffC08vV82fLzpaigBZULRxB&#10;EOPLzla0DcGWWeZ5KzTzI7DCYLIBp1nA0G2y2rEO0bXKivH4IuvA1dYBF97j35shSVcJv2kED++b&#10;xotAVEWxt5BWl9Z1XLPVkpUbx2wr+bEN9g9daCYNXnqCumGBka2Tf0FpyR14aMKIg86gaSQXiQOy&#10;ycd/sHlomRWJC4rj7Ukm//9g+bvdvSOyruhLSgzTOKLD92+HH4+Hn19JEeXprC/x1IPFc6F/BT2O&#10;OVH19g74J08MXLfMbMSVc9C1gtXYXh4rs7PSAcdHkHX3Fmq8h20DJKC+cTpqh2oQRMcx7U+jEX0g&#10;HH8W0/m8uMAUx1yez2bFIg0vY+VTuXU+vBagSdxU1OHsEzzb3fkQ22Hl05F4m4FbqVSavzKkq+hi&#10;WkxTwVlGy4D2VFJXdD6OX+LFSmWO9CKjgVvo1/1RrjXUeyTqYLAbPg/ctOC+UNKh1SrqP2+ZE5So&#10;NwbFWuSTSfRmCibTWYGBO8+szzPMcISqaKBk2F6H5OeB0xWK2shEN6o/dHLsFS2UVDjaPXr0PE6n&#10;fj/K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XzzM2AAAAAsBAAAPAAAAAAAAAAEAIAAAACIA&#10;AABkcnMvZG93bnJldi54bWxQSwECFAAUAAAACACHTuJAY5t1KwkCAADcAwAADgAAAAAAAAABACAA&#10;AAAnAQAAZHJzL2Uyb0RvYy54bWxQSwUGAAAAAAYABgBZAQAAogUAAAAA&#10;">
                <v:fill on="f" focussize="0,0"/>
                <v:stroke on="f" miterlimit="8" joinstyle="miter"/>
                <v:imagedata o:title=""/>
                <o:lock v:ext="edit" aspectratio="f"/>
                <v:textbox>
                  <w:txbxContent>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lang w:val="en-US" w:eastAsia="zh-CN"/>
                          <w14:textFill>
                            <w14:solidFill>
                              <w14:schemeClr w14:val="tx1">
                                <w14:lumMod w14:val="50000"/>
                                <w14:lumOff w14:val="50000"/>
                              </w14:schemeClr>
                            </w14:solidFill>
                          </w14:textFill>
                        </w:rPr>
                        <w:t>电话</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0533-7026579</w:t>
                      </w:r>
                    </w:p>
                    <w:p>
                      <w:pPr>
                        <w:adjustRightInd w:val="0"/>
                        <w:snapToGrid w:val="0"/>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传真： 0533-26093064</w:t>
                      </w:r>
                    </w:p>
                    <w:p>
                      <w:pPr>
                        <w:ind w:left="240" w:right="240"/>
                        <w:jc w:val="both"/>
                        <w:rPr>
                          <w:color w:val="808080" w:themeColor="text1" w:themeTint="80"/>
                          <w14:textFill>
                            <w14:solidFill>
                              <w14:schemeClr w14:val="tx1">
                                <w14:lumMod w14:val="50000"/>
                                <w14:lumOff w14:val="50000"/>
                              </w14:schemeClr>
                            </w14:solidFill>
                          </w14:textFill>
                        </w:rPr>
                      </w:pPr>
                    </w:p>
                    <w:p>
                      <w:pPr>
                        <w:ind w:left="240" w:right="240"/>
                        <w:rPr>
                          <w:color w:val="808080" w:themeColor="text1" w:themeTint="80"/>
                          <w14:textFill>
                            <w14:solidFill>
                              <w14:schemeClr w14:val="tx1">
                                <w14:lumMod w14:val="50000"/>
                                <w14:lumOff w14:val="50000"/>
                              </w14:schemeClr>
                            </w14:solidFill>
                          </w14:textFill>
                        </w:rPr>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1223010</wp:posOffset>
                </wp:positionH>
                <wp:positionV relativeFrom="paragraph">
                  <wp:posOffset>271780</wp:posOffset>
                </wp:positionV>
                <wp:extent cx="2964180" cy="110553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964180" cy="1105231"/>
                        </a:xfrm>
                        <a:prstGeom prst="rect">
                          <a:avLst/>
                        </a:prstGeom>
                        <a:noFill/>
                        <a:ln w="9525">
                          <a:noFill/>
                          <a:miter lim="800000"/>
                        </a:ln>
                      </wps:spPr>
                      <wps:txbx>
                        <w:txbxContent>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编辑：陈丽君、岳姝帆</w:t>
                            </w:r>
                          </w:p>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邮箱：</w:t>
                            </w:r>
                            <w:r>
                              <w:rPr>
                                <w:rFonts w:ascii="微软雅黑" w:hAnsi="微软雅黑" w:eastAsia="微软雅黑"/>
                                <w:bCs/>
                                <w:color w:val="808080" w:themeColor="text1" w:themeTint="80"/>
                                <w:szCs w:val="24"/>
                                <w14:textFill>
                                  <w14:solidFill>
                                    <w14:schemeClr w14:val="tx1">
                                      <w14:lumMod w14:val="50000"/>
                                      <w14:lumOff w14:val="50000"/>
                                    </w14:schemeClr>
                                  </w14:solidFill>
                                </w14:textFill>
                              </w:rPr>
                              <w:t xml:space="preserve"> </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chenlijun@mysteel.com</w:t>
                            </w:r>
                          </w:p>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 xml:space="preserve">         </w:t>
                            </w:r>
                            <w:r>
                              <w:rPr>
                                <w:rFonts w:ascii="微软雅黑" w:hAnsi="微软雅黑" w:eastAsia="微软雅黑"/>
                                <w:bCs/>
                                <w:color w:val="808080" w:themeColor="text1" w:themeTint="80"/>
                                <w:szCs w:val="24"/>
                                <w14:textFill>
                                  <w14:solidFill>
                                    <w14:schemeClr w14:val="tx1">
                                      <w14:lumMod w14:val="50000"/>
                                      <w14:lumOff w14:val="50000"/>
                                    </w14:schemeClr>
                                  </w14:solidFill>
                                </w14:textFill>
                              </w:rPr>
                              <w:t>yueshufan</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@mysteel.com</w:t>
                            </w:r>
                          </w:p>
                          <w:p>
                            <w:pPr>
                              <w:ind w:left="240" w:right="240"/>
                              <w:jc w:val="both"/>
                              <w:rPr>
                                <w:color w:val="808080" w:themeColor="text1" w:themeTint="80"/>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6.3pt;margin-top:21.4pt;height:87.05pt;width:233.4pt;z-index:251658240;mso-width-relative:page;mso-height-relative:page;" filled="f" stroked="f" coordsize="21600,21600" o:gfxdata="UEsDBAoAAAAAAIdO4kAAAAAAAAAAAAAAAAAEAAAAZHJzL1BLAwQUAAAACACHTuJAOqkAWdcAAAAK&#10;AQAADwAAAGRycy9kb3ducmV2LnhtbE2Py07DMBBF90j8gzVI3VE7URqREKcLENtWlIfEzo2nSUQ8&#10;jmK3Sf+eYQXLqzm6c261XdwgLjiF3pOGZK1AIDXe9tRqeH97uX8AEaIhawZPqOGKAbb17U1lSutn&#10;esXLIbaCSyiURkMX41hKGZoOnQlrPyLx7eQnZyLHqZV2MjOXu0GmSuXSmZ74Q2dGfOqw+T6cnYaP&#10;3enrM1P79tltxtkvSpIrpNaru0Q9goi4xD8YfvVZHWp2Ovoz2SAGzkWaM6ohS3kCA/mmyEAcNaRJ&#10;XoCsK/l/Qv0DUEsDBBQAAAAIAIdO4kASvClKCQIAANwDAAAOAAAAZHJzL2Uyb0RvYy54bWytU82O&#10;0zAQviPxDpbvND80Sxs1XS27WoS0/EgLD+A6TmMRe4ztNikPwL4BJy7cea4+B2MnWyq4IXKwPJmZ&#10;b+b7Zry6HFRH9sI6Cbqi2SylRGgOtdTbin78cPtsQYnzTNesAy0qehCOXq6fPln1phQ5tNDVwhIE&#10;0a7sTUVb702ZJI63QjE3AyM0Ohuwink07TapLesRXXVJnqYXSQ+2Nha4cA7/3oxOuo74TSO4f9c0&#10;TnjSVRR78/G08dyEM1mvWLm1zLSST22wf+hCMamx6AnqhnlGdlb+BaUkt+Cg8TMOKoGmkVxEDsgm&#10;S/9gc98yIyIXFMeZk0zu/8Hyt/v3lsi6ogUlmikc0fHbw/H7z+OPr6QI8vTGlRh1bzDODy9hwDFH&#10;qs7cAf/kiIbrlumtuLIW+lawGtvLQmZyljriuACy6d9AjXXYzkMEGhqrgnaoBkF0HNPhNBoxeMLx&#10;Z768mGcLdHH0ZVla5M/HGqx8TDfW+VcCFAmXilqcfYRn+zvnQzusfAwJ1TTcyq6L8+806Su6LPIi&#10;Jpx5lPS4np1UFV2k4Yu8WNnpiV5gNHLzw2aY5NpAfUCiFsZ1w+eBlxbsF0p6XLWKus87ZgUl3WuN&#10;Yi2z+TzsZjTmxYscDXvu2Zx7mOYIVVFPyXi99nGfR05XKGojI92g/tjJ1CuuUFRhWvewo+d2jPr9&#10;KN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qpAFnXAAAACgEAAA8AAAAAAAAAAQAgAAAAIgAA&#10;AGRycy9kb3ducmV2LnhtbFBLAQIUABQAAAAIAIdO4kASvClKCQIAANwDAAAOAAAAAAAAAAEAIAAA&#10;ACYBAABkcnMvZTJvRG9jLnhtbFBLBQYAAAAABgAGAFkBAAChBQAAAAA=&#10;">
                <v:fill on="f" focussize="0,0"/>
                <v:stroke on="f" miterlimit="8" joinstyle="miter"/>
                <v:imagedata o:title=""/>
                <o:lock v:ext="edit" aspectratio="f"/>
                <v:textbox>
                  <w:txbxContent>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编辑：陈丽君、岳姝帆</w:t>
                      </w:r>
                    </w:p>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邮箱：</w:t>
                      </w:r>
                      <w:r>
                        <w:rPr>
                          <w:rFonts w:ascii="微软雅黑" w:hAnsi="微软雅黑" w:eastAsia="微软雅黑"/>
                          <w:bCs/>
                          <w:color w:val="808080" w:themeColor="text1" w:themeTint="80"/>
                          <w:szCs w:val="24"/>
                          <w14:textFill>
                            <w14:solidFill>
                              <w14:schemeClr w14:val="tx1">
                                <w14:lumMod w14:val="50000"/>
                                <w14:lumOff w14:val="50000"/>
                              </w14:schemeClr>
                            </w14:solidFill>
                          </w14:textFill>
                        </w:rPr>
                        <w:t xml:space="preserve"> </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chenlijun@mysteel.com</w:t>
                      </w:r>
                    </w:p>
                    <w:p>
                      <w:pPr>
                        <w:adjustRightInd w:val="0"/>
                        <w:snapToGrid w:val="0"/>
                        <w:spacing w:line="240" w:lineRule="auto"/>
                        <w:ind w:left="240" w:right="240" w:firstLine="0" w:firstLineChars="0"/>
                        <w:jc w:val="both"/>
                        <w:rPr>
                          <w:rFonts w:ascii="微软雅黑" w:hAnsi="微软雅黑" w:eastAsia="微软雅黑"/>
                          <w:bCs/>
                          <w:color w:val="808080" w:themeColor="text1" w:themeTint="80"/>
                          <w:szCs w:val="24"/>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 xml:space="preserve">         </w:t>
                      </w:r>
                      <w:r>
                        <w:rPr>
                          <w:rFonts w:ascii="微软雅黑" w:hAnsi="微软雅黑" w:eastAsia="微软雅黑"/>
                          <w:bCs/>
                          <w:color w:val="808080" w:themeColor="text1" w:themeTint="80"/>
                          <w:szCs w:val="24"/>
                          <w14:textFill>
                            <w14:solidFill>
                              <w14:schemeClr w14:val="tx1">
                                <w14:lumMod w14:val="50000"/>
                                <w14:lumOff w14:val="50000"/>
                              </w14:schemeClr>
                            </w14:solidFill>
                          </w14:textFill>
                        </w:rPr>
                        <w:t>yueshufan</w:t>
                      </w:r>
                      <w:r>
                        <w:rPr>
                          <w:rFonts w:hint="eastAsia" w:ascii="微软雅黑" w:hAnsi="微软雅黑" w:eastAsia="微软雅黑"/>
                          <w:bCs/>
                          <w:color w:val="808080" w:themeColor="text1" w:themeTint="80"/>
                          <w:szCs w:val="24"/>
                          <w14:textFill>
                            <w14:solidFill>
                              <w14:schemeClr w14:val="tx1">
                                <w14:lumMod w14:val="50000"/>
                                <w14:lumOff w14:val="50000"/>
                              </w14:schemeClr>
                            </w14:solidFill>
                          </w14:textFill>
                        </w:rPr>
                        <w:t>@mysteel.com</w:t>
                      </w:r>
                    </w:p>
                    <w:p>
                      <w:pPr>
                        <w:ind w:left="240" w:right="240"/>
                        <w:jc w:val="both"/>
                        <w:rPr>
                          <w:color w:val="808080" w:themeColor="text1" w:themeTint="80"/>
                          <w14:textFill>
                            <w14:solidFill>
                              <w14:schemeClr w14:val="tx1">
                                <w14:lumMod w14:val="50000"/>
                                <w14:lumOff w14:val="50000"/>
                              </w14:schemeClr>
                            </w14:solidFill>
                          </w14:textFill>
                        </w:rPr>
                      </w:pPr>
                    </w:p>
                  </w:txbxContent>
                </v:textbox>
              </v:shape>
            </w:pict>
          </mc:Fallback>
        </mc:AlternateContent>
      </w: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p>
    <w:p>
      <w:pPr>
        <w:adjustRightInd w:val="0"/>
        <w:snapToGrid w:val="0"/>
        <w:spacing w:line="240" w:lineRule="auto"/>
        <w:ind w:left="240" w:right="240" w:firstLine="0" w:firstLineChars="0"/>
        <w:jc w:val="center"/>
        <w:rPr>
          <w:rFonts w:ascii="黑体" w:hAnsi="黑体" w:eastAsia="黑体"/>
          <w:b/>
          <w:bCs/>
          <w:color w:val="17375E" w:themeColor="text2" w:themeShade="BF"/>
          <w:sz w:val="72"/>
          <w:szCs w:val="72"/>
        </w:rPr>
      </w:pPr>
      <w:r>
        <w:rPr>
          <w:rFonts w:hint="eastAsia" w:ascii="黑体" w:hAnsi="黑体" w:eastAsia="黑体"/>
          <w:b/>
          <w:bCs/>
          <w:color w:val="17375E" w:themeColor="text2" w:themeShade="BF"/>
          <w:sz w:val="72"/>
          <w:szCs w:val="72"/>
        </w:rPr>
        <w:t>稻米市场周度报告</w:t>
      </w:r>
      <w:bookmarkEnd w:id="0"/>
      <w:bookmarkEnd w:id="1"/>
      <w:bookmarkEnd w:id="2"/>
      <w:bookmarkEnd w:id="3"/>
      <w:bookmarkEnd w:id="5"/>
      <w:bookmarkEnd w:id="6"/>
    </w:p>
    <w:p>
      <w:pPr>
        <w:adjustRightInd w:val="0"/>
        <w:snapToGrid w:val="0"/>
        <w:spacing w:line="240" w:lineRule="auto"/>
        <w:ind w:left="240" w:right="240" w:firstLine="0" w:firstLineChars="0"/>
        <w:jc w:val="center"/>
        <w:rPr>
          <w:rFonts w:ascii="黑体" w:hAnsi="黑体" w:eastAsia="黑体"/>
          <w:b/>
          <w:bCs/>
          <w:color w:val="17375E" w:themeColor="text2" w:themeShade="BF"/>
          <w:sz w:val="28"/>
          <w:szCs w:val="28"/>
        </w:rPr>
      </w:pPr>
      <w:r>
        <w:rPr>
          <w:rFonts w:hint="eastAsia" w:ascii="黑体" w:hAnsi="黑体" w:eastAsia="黑体"/>
          <w:b/>
          <w:bCs/>
          <w:color w:val="17375E" w:themeColor="text2" w:themeShade="BF"/>
          <w:sz w:val="28"/>
          <w:szCs w:val="28"/>
        </w:rPr>
        <w:t>（</w:t>
      </w:r>
      <w:r>
        <w:rPr>
          <w:rFonts w:ascii="黑体" w:hAnsi="黑体" w:eastAsia="黑体"/>
          <w:b/>
          <w:bCs/>
          <w:color w:val="17375E" w:themeColor="text2" w:themeShade="BF"/>
          <w:sz w:val="28"/>
          <w:szCs w:val="28"/>
        </w:rPr>
        <w:t>2022</w:t>
      </w:r>
      <w:r>
        <w:rPr>
          <w:rFonts w:hint="eastAsia" w:ascii="黑体" w:hAnsi="黑体" w:eastAsia="黑体"/>
          <w:b/>
          <w:bCs/>
          <w:color w:val="17375E" w:themeColor="text2" w:themeShade="BF"/>
          <w:sz w:val="28"/>
          <w:szCs w:val="28"/>
        </w:rPr>
        <w:t>.</w:t>
      </w:r>
      <w:r>
        <w:rPr>
          <w:rFonts w:ascii="黑体" w:hAnsi="黑体" w:eastAsia="黑体"/>
          <w:b/>
          <w:bCs/>
          <w:color w:val="17375E" w:themeColor="text2" w:themeShade="BF"/>
          <w:sz w:val="28"/>
          <w:szCs w:val="28"/>
        </w:rPr>
        <w:t>3</w:t>
      </w:r>
      <w:r>
        <w:rPr>
          <w:rFonts w:hint="eastAsia" w:ascii="黑体" w:hAnsi="黑体" w:eastAsia="黑体"/>
          <w:b/>
          <w:bCs/>
          <w:color w:val="17375E" w:themeColor="text2" w:themeShade="BF"/>
          <w:sz w:val="28"/>
          <w:szCs w:val="28"/>
        </w:rPr>
        <w:t>.</w:t>
      </w:r>
      <w:r>
        <w:rPr>
          <w:rFonts w:ascii="黑体" w:hAnsi="黑体" w:eastAsia="黑体"/>
          <w:b/>
          <w:bCs/>
          <w:color w:val="17375E" w:themeColor="text2" w:themeShade="BF"/>
          <w:sz w:val="28"/>
          <w:szCs w:val="28"/>
        </w:rPr>
        <w:t>3</w:t>
      </w:r>
      <w:r>
        <w:rPr>
          <w:rFonts w:hint="eastAsia" w:ascii="黑体" w:hAnsi="黑体" w:eastAsia="黑体"/>
          <w:b/>
          <w:bCs/>
          <w:color w:val="17375E" w:themeColor="text2" w:themeShade="BF"/>
          <w:sz w:val="28"/>
          <w:szCs w:val="28"/>
        </w:rPr>
        <w:t>-2022.</w:t>
      </w:r>
      <w:r>
        <w:rPr>
          <w:rFonts w:ascii="黑体" w:hAnsi="黑体" w:eastAsia="黑体"/>
          <w:b/>
          <w:bCs/>
          <w:color w:val="17375E" w:themeColor="text2" w:themeShade="BF"/>
          <w:sz w:val="28"/>
          <w:szCs w:val="28"/>
        </w:rPr>
        <w:t>3</w:t>
      </w:r>
      <w:r>
        <w:rPr>
          <w:rFonts w:hint="eastAsia" w:ascii="黑体" w:hAnsi="黑体" w:eastAsia="黑体"/>
          <w:b/>
          <w:bCs/>
          <w:color w:val="17375E" w:themeColor="text2" w:themeShade="BF"/>
          <w:sz w:val="28"/>
          <w:szCs w:val="28"/>
        </w:rPr>
        <w:t>.</w:t>
      </w:r>
      <w:r>
        <w:rPr>
          <w:rFonts w:ascii="黑体" w:hAnsi="黑体" w:eastAsia="黑体"/>
          <w:b/>
          <w:bCs/>
          <w:color w:val="17375E" w:themeColor="text2" w:themeShade="BF"/>
          <w:sz w:val="28"/>
          <w:szCs w:val="28"/>
        </w:rPr>
        <w:t>10</w:t>
      </w:r>
      <w:r>
        <w:rPr>
          <w:rFonts w:hint="eastAsia" w:ascii="黑体" w:hAnsi="黑体" w:eastAsia="黑体"/>
          <w:b/>
          <w:bCs/>
          <w:color w:val="17375E" w:themeColor="text2" w:themeShade="BF"/>
          <w:sz w:val="28"/>
          <w:szCs w:val="28"/>
        </w:rPr>
        <w:t>）</w:t>
      </w: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pPr>
    </w:p>
    <w:p>
      <w:pPr>
        <w:ind w:left="240" w:right="240" w:firstLine="0" w:firstLineChars="0"/>
        <w:rPr>
          <w:rFonts w:ascii="楷体" w:hAnsi="楷体"/>
          <w:b/>
          <w:bCs/>
          <w:sz w:val="21"/>
          <w:szCs w:val="21"/>
        </w:rPr>
      </w:pPr>
      <w:r>
        <w:rPr>
          <w:rFonts w:hint="eastAsia" w:ascii="楷体" w:hAnsi="楷体"/>
          <w:b/>
          <w:bCs/>
          <w:sz w:val="21"/>
          <w:szCs w:val="21"/>
        </w:rPr>
        <w:t>研究方法及标准</w:t>
      </w:r>
    </w:p>
    <w:p>
      <w:pPr>
        <w:ind w:left="240" w:right="240" w:firstLine="420"/>
        <w:rPr>
          <w:rFonts w:ascii="楷体" w:hAnsi="楷体"/>
          <w:b/>
          <w:bCs/>
          <w:sz w:val="21"/>
          <w:szCs w:val="21"/>
        </w:rPr>
      </w:pPr>
      <w:r>
        <w:rPr>
          <w:rFonts w:hint="eastAsia" w:ascii="楷体" w:hAnsi="楷体"/>
          <w:sz w:val="21"/>
          <w:szCs w:val="21"/>
        </w:rPr>
        <w:t>报告中的数据皆为本机构自有的调研数据，我们通过与市场业内人士的电话交流、在线交流、实地调研</w:t>
      </w:r>
      <w:r>
        <w:rPr>
          <w:rFonts w:ascii="楷体" w:hAnsi="楷体"/>
          <w:sz w:val="21"/>
          <w:szCs w:val="21"/>
        </w:rPr>
        <w:t>等方式对</w:t>
      </w:r>
      <w:r>
        <w:rPr>
          <w:rFonts w:hint="eastAsia" w:ascii="楷体" w:hAnsi="楷体"/>
          <w:sz w:val="21"/>
          <w:szCs w:val="21"/>
        </w:rPr>
        <w:t>报告中</w:t>
      </w:r>
      <w:r>
        <w:rPr>
          <w:rFonts w:ascii="楷体" w:hAnsi="楷体"/>
          <w:sz w:val="21"/>
          <w:szCs w:val="21"/>
        </w:rPr>
        <w:t>数据</w:t>
      </w:r>
      <w:r>
        <w:rPr>
          <w:rFonts w:hint="eastAsia" w:ascii="楷体" w:hAnsi="楷体"/>
          <w:sz w:val="21"/>
          <w:szCs w:val="21"/>
        </w:rPr>
        <w:t>进行验证和修正，以力求真实的反馈市场情况，并给出相应的结论，为客户的决策提供必要的帮助和参考。</w:t>
      </w:r>
    </w:p>
    <w:p>
      <w:pPr>
        <w:ind w:left="240" w:right="240" w:firstLine="0" w:firstLineChars="0"/>
        <w:rPr>
          <w:rFonts w:ascii="楷体" w:hAnsi="楷体"/>
          <w:b/>
          <w:bCs/>
          <w:sz w:val="21"/>
          <w:szCs w:val="21"/>
        </w:rPr>
      </w:pPr>
      <w:r>
        <w:rPr>
          <w:rFonts w:hint="eastAsia" w:ascii="楷体" w:hAnsi="楷体"/>
          <w:b/>
          <w:bCs/>
          <w:sz w:val="21"/>
          <w:szCs w:val="21"/>
        </w:rPr>
        <w:t>报告可信度及声明</w:t>
      </w:r>
    </w:p>
    <w:p>
      <w:pPr>
        <w:ind w:left="240" w:right="240" w:firstLine="420"/>
        <w:rPr>
          <w:rFonts w:ascii="楷体" w:hAnsi="楷体"/>
          <w:sz w:val="21"/>
          <w:szCs w:val="21"/>
        </w:rPr>
      </w:pPr>
      <w:r>
        <w:rPr>
          <w:rFonts w:hint="eastAsia" w:ascii="楷体" w:hAnsi="楷体"/>
          <w:sz w:val="21"/>
          <w:szCs w:val="21"/>
        </w:rPr>
        <w:t>Mysteel农产品力求以最</w:t>
      </w:r>
      <w:r>
        <w:rPr>
          <w:rFonts w:ascii="楷体" w:hAnsi="楷体"/>
          <w:sz w:val="21"/>
          <w:szCs w:val="21"/>
        </w:rPr>
        <w:t>详实</w:t>
      </w:r>
      <w:r>
        <w:rPr>
          <w:rFonts w:hint="eastAsia" w:ascii="楷体" w:hAnsi="楷体"/>
          <w:sz w:val="21"/>
          <w:szCs w:val="21"/>
        </w:rPr>
        <w:t>的信息为客户提供指导</w:t>
      </w:r>
      <w:r>
        <w:rPr>
          <w:rFonts w:ascii="楷体" w:hAnsi="楷体"/>
          <w:sz w:val="21"/>
          <w:szCs w:val="21"/>
        </w:rPr>
        <w:t>与帮助</w:t>
      </w:r>
      <w:r>
        <w:rPr>
          <w:rFonts w:hint="eastAsia" w:ascii="楷体" w:hAnsi="楷体"/>
          <w:sz w:val="21"/>
          <w:szCs w:val="21"/>
        </w:rPr>
        <w:t>，但对于据此报告做出的任何商业决策可能产生的风险，本机构不承担任何法律责任。</w:t>
      </w:r>
    </w:p>
    <w:p>
      <w:pPr>
        <w:ind w:left="240" w:right="240" w:firstLine="420"/>
        <w:rPr>
          <w:rFonts w:ascii="宋体" w:hAnsi="宋体"/>
          <w:sz w:val="21"/>
          <w:szCs w:val="21"/>
        </w:rPr>
      </w:pPr>
    </w:p>
    <w:p>
      <w:pPr>
        <w:ind w:left="240" w:right="240" w:firstLine="420"/>
        <w:rPr>
          <w:rFonts w:ascii="宋体" w:hAnsi="宋体"/>
          <w:sz w:val="21"/>
          <w:szCs w:val="21"/>
        </w:rPr>
      </w:pPr>
    </w:p>
    <w:p>
      <w:pPr>
        <w:ind w:left="240" w:right="240" w:firstLine="420"/>
        <w:rPr>
          <w:rFonts w:ascii="宋体" w:hAnsi="宋体"/>
          <w:sz w:val="21"/>
          <w:szCs w:val="21"/>
        </w:rPr>
        <w:sectPr>
          <w:headerReference r:id="rId5" w:type="first"/>
          <w:footerReference r:id="rId8" w:type="first"/>
          <w:headerReference r:id="rId3" w:type="default"/>
          <w:footerReference r:id="rId6" w:type="default"/>
          <w:headerReference r:id="rId4" w:type="even"/>
          <w:footerReference r:id="rId7" w:type="even"/>
          <w:pgSz w:w="11910" w:h="16840"/>
          <w:pgMar w:top="1700" w:right="1240" w:bottom="280" w:left="1680" w:header="970" w:footer="0" w:gutter="0"/>
          <w:pgNumType w:fmt="numberInDash" w:start="0"/>
          <w:cols w:space="720" w:num="1"/>
          <w:docGrid w:linePitch="326" w:charSpace="0"/>
        </w:sectPr>
      </w:pPr>
    </w:p>
    <w:sdt>
      <w:sdtPr>
        <w:rPr>
          <w:rFonts w:ascii="宋体" w:hAnsi="宋体" w:eastAsia="宋体"/>
          <w:b/>
          <w:i w:val="0"/>
          <w:iCs w:val="0"/>
          <w:smallCaps/>
          <w:color w:val="4F81BD" w:themeColor="accent1"/>
          <w:sz w:val="40"/>
          <w:szCs w:val="40"/>
          <w:lang w:val="zh-CN"/>
          <w14:textFill>
            <w14:solidFill>
              <w14:schemeClr w14:val="accent1"/>
            </w14:solidFill>
          </w14:textFill>
        </w:rPr>
        <w:id w:val="1336721889"/>
        <w:docPartObj>
          <w:docPartGallery w:val="Table of Contents"/>
          <w:docPartUnique/>
        </w:docPartObj>
      </w:sdtPr>
      <w:sdtEndPr>
        <w:rPr>
          <w:rFonts w:ascii="宋体" w:hAnsi="宋体" w:eastAsia="楷体" w:cstheme="minorBidi"/>
          <w:b w:val="0"/>
          <w:bCs/>
          <w:i w:val="0"/>
          <w:iCs w:val="0"/>
          <w:smallCaps w:val="0"/>
          <w:color w:val="4F81BD" w:themeColor="accent1"/>
          <w:sz w:val="24"/>
          <w:szCs w:val="22"/>
          <w:lang w:val="zh-CN"/>
          <w14:textFill>
            <w14:solidFill>
              <w14:schemeClr w14:val="accent1"/>
            </w14:solidFill>
          </w14:textFill>
        </w:rPr>
      </w:sdtEndPr>
      <w:sdtContent>
        <w:p>
          <w:pPr>
            <w:pStyle w:val="13"/>
            <w:tabs>
              <w:tab w:val="right" w:leader="dot" w:pos="8980"/>
            </w:tabs>
            <w:spacing w:before="120" w:after="120"/>
            <w:ind w:left="240" w:right="240" w:firstLine="803"/>
            <w:jc w:val="center"/>
            <w:rPr>
              <w:rFonts w:ascii="宋体" w:hAnsi="宋体" w:eastAsia="宋体"/>
              <w:b/>
              <w:i w:val="0"/>
              <w:iCs w:val="0"/>
              <w:smallCaps/>
              <w:color w:val="4F81BD" w:themeColor="accent1"/>
              <w:sz w:val="40"/>
              <w:szCs w:val="40"/>
              <w:lang w:val="zh-CN"/>
              <w14:textFill>
                <w14:solidFill>
                  <w14:schemeClr w14:val="accent1"/>
                </w14:solidFill>
              </w14:textFill>
            </w:rPr>
          </w:pPr>
          <w:bookmarkStart w:id="7" w:name="_Toc66351511"/>
          <w:bookmarkStart w:id="8" w:name="_Toc57975357"/>
          <w:bookmarkStart w:id="9" w:name="_Toc66351475"/>
          <w:r>
            <w:rPr>
              <w:rFonts w:ascii="宋体" w:hAnsi="宋体" w:eastAsia="宋体"/>
              <w:b/>
              <w:i w:val="0"/>
              <w:iCs w:val="0"/>
              <w:smallCaps/>
              <w:color w:val="4F81BD" w:themeColor="accent1"/>
              <w:sz w:val="40"/>
              <w:szCs w:val="40"/>
              <w:lang w:val="zh-CN"/>
              <w14:textFill>
                <w14:solidFill>
                  <w14:schemeClr w14:val="accent1"/>
                </w14:solidFill>
              </w14:textFill>
            </w:rPr>
            <w:t>目录</w:t>
          </w:r>
        </w:p>
        <w:p>
          <w:pPr>
            <w:pStyle w:val="3"/>
            <w:tabs>
              <w:tab w:val="right" w:leader="dot" w:pos="8980"/>
            </w:tabs>
            <w:spacing w:before="120" w:after="120"/>
            <w:ind w:right="240" w:firstLine="400"/>
            <w:rPr>
              <w:rFonts w:cstheme="minorBidi"/>
              <w:smallCaps w:val="0"/>
              <w:sz w:val="21"/>
              <w:szCs w:val="22"/>
            </w:rPr>
          </w:pPr>
          <w:r>
            <w:rPr>
              <w:rFonts w:eastAsiaTheme="minorEastAsia"/>
              <w:i/>
              <w:iCs/>
              <w:smallCaps w:val="0"/>
            </w:rPr>
            <w:fldChar w:fldCharType="begin"/>
          </w:r>
          <w:r>
            <w:instrText xml:space="preserve"> TOC \o "1-3" \h \z \u </w:instrText>
          </w:r>
          <w:r>
            <w:rPr>
              <w:rFonts w:eastAsiaTheme="minorEastAsia"/>
              <w:i/>
              <w:iCs/>
              <w:smallCaps w:val="0"/>
            </w:rPr>
            <w:fldChar w:fldCharType="separate"/>
          </w:r>
          <w:r>
            <w:fldChar w:fldCharType="begin"/>
          </w:r>
          <w:r>
            <w:instrText xml:space="preserve"> HYPERLINK \l "_Toc91769617" </w:instrText>
          </w:r>
          <w:r>
            <w:fldChar w:fldCharType="separate"/>
          </w:r>
          <w:r>
            <w:rPr>
              <w:rStyle w:val="30"/>
              <w:rFonts w:hint="eastAsia"/>
            </w:rPr>
            <w:t>本周核心观点</w:t>
          </w:r>
          <w:r>
            <w:tab/>
          </w:r>
          <w:r>
            <w:fldChar w:fldCharType="begin"/>
          </w:r>
          <w:r>
            <w:instrText xml:space="preserve"> PAGEREF _Toc91769617 \h </w:instrText>
          </w:r>
          <w:r>
            <w:fldChar w:fldCharType="separate"/>
          </w:r>
          <w:r>
            <w:t>- 1 -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"_Toc91769618" </w:instrText>
          </w:r>
          <w:r>
            <w:fldChar w:fldCharType="separate"/>
          </w:r>
          <w:r>
            <w:rPr>
              <w:rStyle w:val="30"/>
              <w:rFonts w:hint="eastAsia"/>
            </w:rPr>
            <w:t>第一章</w:t>
          </w:r>
          <w:r>
            <w:rPr>
              <w:rStyle w:val="30"/>
            </w:rPr>
            <w:t xml:space="preserve"> </w:t>
          </w:r>
          <w:r>
            <w:rPr>
              <w:rStyle w:val="30"/>
              <w:rFonts w:hint="eastAsia"/>
            </w:rPr>
            <w:t>本周稻米市场主要指标概述</w:t>
          </w:r>
          <w:r>
            <w:tab/>
          </w:r>
          <w:r>
            <w:fldChar w:fldCharType="begin"/>
          </w:r>
          <w:r>
            <w:instrText xml:space="preserve"> PAGEREF _Toc91769618 \h </w:instrText>
          </w:r>
          <w:r>
            <w:fldChar w:fldCharType="separate"/>
          </w:r>
          <w:r>
            <w:t>- 1 -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"_Toc91769619" </w:instrText>
          </w:r>
          <w:r>
            <w:fldChar w:fldCharType="separate"/>
          </w:r>
          <w:r>
            <w:rPr>
              <w:rStyle w:val="30"/>
            </w:rPr>
            <w:t>1.1</w:t>
          </w:r>
          <w:r>
            <w:rPr>
              <w:rStyle w:val="30"/>
              <w:rFonts w:hint="eastAsia"/>
            </w:rPr>
            <w:t>大米市场行情分析</w:t>
          </w:r>
          <w:r>
            <w:tab/>
          </w:r>
          <w:r>
            <w:fldChar w:fldCharType="begin"/>
          </w:r>
          <w:r>
            <w:instrText xml:space="preserve"> PAGEREF _Toc91769619 \h </w:instrText>
          </w:r>
          <w:r>
            <w:fldChar w:fldCharType="separate"/>
          </w:r>
          <w:r>
            <w:t>- 1 -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"_Toc91769620" </w:instrText>
          </w:r>
          <w:r>
            <w:fldChar w:fldCharType="separate"/>
          </w:r>
          <w:r>
            <w:rPr>
              <w:rStyle w:val="30"/>
            </w:rPr>
            <w:t>1.2</w:t>
          </w:r>
          <w:r>
            <w:rPr>
              <w:rStyle w:val="30"/>
              <w:rFonts w:hint="eastAsia"/>
            </w:rPr>
            <w:t>稻谷市场行情分析</w:t>
          </w:r>
          <w:r>
            <w:tab/>
          </w:r>
          <w:r>
            <w:fldChar w:fldCharType="begin"/>
          </w:r>
          <w:r>
            <w:instrText xml:space="preserve"> PAGEREF _Toc91769620 \h </w:instrText>
          </w:r>
          <w:r>
            <w:fldChar w:fldCharType="separate"/>
          </w:r>
          <w:r>
            <w:t>- 2 -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"_Toc91769621" </w:instrText>
          </w:r>
          <w:r>
            <w:fldChar w:fldCharType="separate"/>
          </w:r>
          <w:r>
            <w:rPr>
              <w:rStyle w:val="30"/>
            </w:rPr>
            <w:t xml:space="preserve">1.3 </w:t>
          </w:r>
          <w:r>
            <w:rPr>
              <w:rStyle w:val="30"/>
              <w:rFonts w:hint="eastAsia"/>
            </w:rPr>
            <w:t>销区市场价格行情分析</w:t>
          </w:r>
          <w:r>
            <w:tab/>
          </w:r>
          <w:r>
            <w:fldChar w:fldCharType="begin"/>
          </w:r>
          <w:r>
            <w:instrText xml:space="preserve"> PAGEREF _Toc91769621 \h </w:instrText>
          </w:r>
          <w:r>
            <w:fldChar w:fldCharType="separate"/>
          </w:r>
          <w:r>
            <w:t>- 3 -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"_Toc91769622" </w:instrText>
          </w:r>
          <w:r>
            <w:fldChar w:fldCharType="separate"/>
          </w:r>
          <w:r>
            <w:rPr>
              <w:rStyle w:val="30"/>
              <w:rFonts w:hint="eastAsia"/>
            </w:rPr>
            <w:t>第二章</w:t>
          </w:r>
          <w:r>
            <w:rPr>
              <w:rStyle w:val="30"/>
            </w:rPr>
            <w:t xml:space="preserve"> </w:t>
          </w:r>
          <w:r>
            <w:rPr>
              <w:rStyle w:val="30"/>
              <w:rFonts w:hint="eastAsia"/>
            </w:rPr>
            <w:t>国内供需格局分析</w:t>
          </w:r>
          <w:r>
            <w:tab/>
          </w:r>
          <w:r>
            <w:fldChar w:fldCharType="begin"/>
          </w:r>
          <w:r>
            <w:instrText xml:space="preserve"> PAGEREF _Toc91769622 \h </w:instrText>
          </w:r>
          <w:r>
            <w:fldChar w:fldCharType="separate"/>
          </w:r>
          <w:r>
            <w:t>- 4 -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"_Toc91769623" </w:instrText>
          </w:r>
          <w:r>
            <w:fldChar w:fldCharType="separate"/>
          </w:r>
          <w:r>
            <w:rPr>
              <w:rStyle w:val="30"/>
            </w:rPr>
            <w:t xml:space="preserve">2.1 </w:t>
          </w:r>
          <w:r>
            <w:rPr>
              <w:rStyle w:val="30"/>
              <w:rFonts w:hint="eastAsia"/>
            </w:rPr>
            <w:t>米厂开机率分析</w:t>
          </w:r>
          <w:r>
            <w:tab/>
          </w:r>
          <w:r>
            <w:fldChar w:fldCharType="begin"/>
          </w:r>
          <w:r>
            <w:instrText xml:space="preserve"> PAGEREF _Toc91769623 \h </w:instrText>
          </w:r>
          <w:r>
            <w:fldChar w:fldCharType="separate"/>
          </w:r>
          <w:r>
            <w:t>- 4 -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"_Toc91769624" </w:instrText>
          </w:r>
          <w:r>
            <w:fldChar w:fldCharType="separate"/>
          </w:r>
          <w:r>
            <w:rPr>
              <w:rStyle w:val="30"/>
            </w:rPr>
            <w:t>2.2</w:t>
          </w:r>
          <w:r>
            <w:rPr>
              <w:rStyle w:val="30"/>
              <w:rFonts w:hint="eastAsia"/>
            </w:rPr>
            <w:t>国储拍卖情况</w:t>
          </w:r>
          <w:r>
            <w:tab/>
          </w:r>
          <w:r>
            <w:fldChar w:fldCharType="begin"/>
          </w:r>
          <w:r>
            <w:instrText xml:space="preserve"> PAGEREF _Toc91769624 \h </w:instrText>
          </w:r>
          <w:r>
            <w:fldChar w:fldCharType="separate"/>
          </w:r>
          <w:r>
            <w:t>- 4 -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"_Toc91769625" </w:instrText>
          </w:r>
          <w:r>
            <w:fldChar w:fldCharType="separate"/>
          </w:r>
          <w:r>
            <w:rPr>
              <w:rStyle w:val="30"/>
              <w:rFonts w:hint="eastAsia"/>
            </w:rPr>
            <w:t>第三章副产品和相关产品情况</w:t>
          </w:r>
          <w:r>
            <w:tab/>
          </w:r>
          <w:r>
            <w:fldChar w:fldCharType="begin"/>
          </w:r>
          <w:r>
            <w:instrText xml:space="preserve"> PAGEREF _Toc91769625 \h </w:instrText>
          </w:r>
          <w:r>
            <w:fldChar w:fldCharType="separate"/>
          </w:r>
          <w:r>
            <w:t>- 4 -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"_Toc91769626" </w:instrText>
          </w:r>
          <w:r>
            <w:fldChar w:fldCharType="separate"/>
          </w:r>
          <w:r>
            <w:rPr>
              <w:rStyle w:val="30"/>
            </w:rPr>
            <w:t>3.1</w:t>
          </w:r>
          <w:r>
            <w:rPr>
              <w:rStyle w:val="30"/>
              <w:rFonts w:hint="eastAsia"/>
            </w:rPr>
            <w:t>副产品行情回顾</w:t>
          </w:r>
          <w:r>
            <w:tab/>
          </w:r>
          <w:r>
            <w:fldChar w:fldCharType="begin"/>
          </w:r>
          <w:r>
            <w:instrText xml:space="preserve"> PAGEREF _Toc91769626 \h </w:instrText>
          </w:r>
          <w:r>
            <w:fldChar w:fldCharType="separate"/>
          </w:r>
          <w:r>
            <w:t>- 5 -</w:t>
          </w:r>
          <w:r>
            <w:fldChar w:fldCharType="end"/>
          </w:r>
          <w:r>
            <w:fldChar w:fldCharType="end"/>
          </w:r>
        </w:p>
        <w:p>
          <w:pPr>
            <w:pStyle w:val="13"/>
            <w:tabs>
              <w:tab w:val="right" w:leader="dot" w:pos="8980"/>
            </w:tabs>
            <w:spacing w:before="120" w:after="120"/>
            <w:ind w:left="240" w:right="240" w:firstLine="400"/>
            <w:rPr>
              <w:rFonts w:cstheme="minorBidi"/>
              <w:i w:val="0"/>
              <w:iCs w:val="0"/>
              <w:sz w:val="21"/>
              <w:szCs w:val="22"/>
            </w:rPr>
          </w:pPr>
          <w:r>
            <w:fldChar w:fldCharType="begin"/>
          </w:r>
          <w:r>
            <w:instrText xml:space="preserve"> HYPERLINK \l "_Toc91769627" </w:instrText>
          </w:r>
          <w:r>
            <w:fldChar w:fldCharType="separate"/>
          </w:r>
          <w:r>
            <w:rPr>
              <w:rStyle w:val="30"/>
            </w:rPr>
            <w:t xml:space="preserve">3.2  </w:t>
          </w:r>
          <w:r>
            <w:rPr>
              <w:rStyle w:val="30"/>
              <w:rFonts w:hint="eastAsia"/>
            </w:rPr>
            <w:t>相关产品情况回顾</w:t>
          </w:r>
          <w:r>
            <w:tab/>
          </w:r>
          <w:r>
            <w:fldChar w:fldCharType="begin"/>
          </w:r>
          <w:r>
            <w:instrText xml:space="preserve"> PAGEREF _Toc91769627 \h </w:instrText>
          </w:r>
          <w:r>
            <w:fldChar w:fldCharType="separate"/>
          </w:r>
          <w:r>
            <w:t>- 6 -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"_Toc91769628" </w:instrText>
          </w:r>
          <w:r>
            <w:fldChar w:fldCharType="separate"/>
          </w:r>
          <w:r>
            <w:rPr>
              <w:rStyle w:val="30"/>
              <w:rFonts w:hint="eastAsia"/>
            </w:rPr>
            <w:t>第四章</w:t>
          </w:r>
          <w:r>
            <w:rPr>
              <w:rStyle w:val="30"/>
            </w:rPr>
            <w:t xml:space="preserve"> </w:t>
          </w:r>
          <w:r>
            <w:rPr>
              <w:rStyle w:val="30"/>
              <w:rFonts w:hint="eastAsia"/>
            </w:rPr>
            <w:t>市场心态解读</w:t>
          </w:r>
          <w:r>
            <w:tab/>
          </w:r>
          <w:r>
            <w:fldChar w:fldCharType="begin"/>
          </w:r>
          <w:r>
            <w:instrText xml:space="preserve"> PAGEREF _Toc91769628 \h </w:instrText>
          </w:r>
          <w:r>
            <w:fldChar w:fldCharType="separate"/>
          </w:r>
          <w:r>
            <w:t>- 6 -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"_Toc91769629" </w:instrText>
          </w:r>
          <w:r>
            <w:fldChar w:fldCharType="separate"/>
          </w:r>
          <w:r>
            <w:rPr>
              <w:rStyle w:val="30"/>
              <w:rFonts w:hint="eastAsia"/>
            </w:rPr>
            <w:t>第五章</w:t>
          </w:r>
          <w:r>
            <w:rPr>
              <w:rStyle w:val="30"/>
            </w:rPr>
            <w:t xml:space="preserve"> </w:t>
          </w:r>
          <w:r>
            <w:rPr>
              <w:rStyle w:val="30"/>
              <w:rFonts w:hint="eastAsia"/>
            </w:rPr>
            <w:t>稻米后市价格影响因素分析</w:t>
          </w:r>
          <w:r>
            <w:tab/>
          </w:r>
          <w:r>
            <w:fldChar w:fldCharType="begin"/>
          </w:r>
          <w:r>
            <w:instrText xml:space="preserve"> PAGEREF _Toc91769629 \h </w:instrText>
          </w:r>
          <w:r>
            <w:fldChar w:fldCharType="separate"/>
          </w:r>
          <w:r>
            <w:t>- 7 -</w:t>
          </w:r>
          <w:r>
            <w:fldChar w:fldCharType="end"/>
          </w:r>
          <w:r>
            <w:fldChar w:fldCharType="end"/>
          </w:r>
        </w:p>
        <w:p>
          <w:pPr>
            <w:pStyle w:val="3"/>
            <w:tabs>
              <w:tab w:val="right" w:leader="dot" w:pos="8980"/>
            </w:tabs>
            <w:spacing w:before="120" w:after="120"/>
            <w:ind w:right="240" w:firstLine="400"/>
            <w:rPr>
              <w:rFonts w:cstheme="minorBidi"/>
              <w:smallCaps w:val="0"/>
              <w:sz w:val="21"/>
              <w:szCs w:val="22"/>
            </w:rPr>
          </w:pPr>
          <w:r>
            <w:fldChar w:fldCharType="begin"/>
          </w:r>
          <w:r>
            <w:instrText xml:space="preserve"> HYPERLINK \l "_Toc91769630" </w:instrText>
          </w:r>
          <w:r>
            <w:fldChar w:fldCharType="separate"/>
          </w:r>
          <w:r>
            <w:rPr>
              <w:rStyle w:val="30"/>
              <w:rFonts w:hint="eastAsia"/>
            </w:rPr>
            <w:t>第六章</w:t>
          </w:r>
          <w:r>
            <w:rPr>
              <w:rStyle w:val="30"/>
            </w:rPr>
            <w:t xml:space="preserve"> </w:t>
          </w:r>
          <w:r>
            <w:rPr>
              <w:rStyle w:val="30"/>
              <w:rFonts w:hint="eastAsia"/>
            </w:rPr>
            <w:t>稻米市场走势分析预测</w:t>
          </w:r>
          <w:r>
            <w:tab/>
          </w:r>
          <w:r>
            <w:fldChar w:fldCharType="begin"/>
          </w:r>
          <w:r>
            <w:instrText xml:space="preserve"> PAGEREF _Toc91769630 \h </w:instrText>
          </w:r>
          <w:r>
            <w:fldChar w:fldCharType="separate"/>
          </w:r>
          <w:r>
            <w:t>- 7 -</w:t>
          </w:r>
          <w:r>
            <w:fldChar w:fldCharType="end"/>
          </w:r>
          <w:r>
            <w:fldChar w:fldCharType="end"/>
          </w:r>
        </w:p>
        <w:p>
          <w:pPr>
            <w:pStyle w:val="3"/>
            <w:tabs>
              <w:tab w:val="right" w:leader="dot" w:pos="8980"/>
            </w:tabs>
            <w:spacing w:before="120" w:after="120"/>
            <w:ind w:right="240" w:firstLine="0" w:firstLineChars="0"/>
            <w:sectPr>
              <w:headerReference r:id="rId10" w:type="first"/>
              <w:headerReference r:id="rId9" w:type="default"/>
              <w:footerReference r:id="rId11" w:type="default"/>
              <w:pgSz w:w="11910" w:h="16840"/>
              <w:pgMar w:top="1700" w:right="1240" w:bottom="280" w:left="1680" w:header="970" w:footer="0" w:gutter="0"/>
              <w:pgNumType w:fmt="numberInDash" w:start="1"/>
              <w:cols w:space="720" w:num="1"/>
              <w:docGrid w:linePitch="326" w:charSpace="0"/>
            </w:sectPr>
          </w:pPr>
          <w:r>
            <w:rPr>
              <w:rFonts w:ascii="宋体" w:hAnsi="宋体" w:eastAsia="宋体"/>
              <w:bCs/>
              <w:szCs w:val="24"/>
              <w:lang w:val="zh-CN"/>
            </w:rPr>
            <w:fldChar w:fldCharType="end"/>
          </w:r>
        </w:p>
      </w:sdtContent>
    </w:sdt>
    <w:p>
      <w:pPr>
        <w:pStyle w:val="4"/>
        <w:ind w:left="240" w:right="240"/>
      </w:pPr>
      <w:bookmarkStart w:id="10" w:name="_Toc91769617"/>
      <w:r>
        <w:rPr>
          <w:rFonts w:hint="eastAsia"/>
        </w:rPr>
        <w:t>本周核心观点</w:t>
      </w:r>
      <w:bookmarkEnd w:id="10"/>
    </w:p>
    <w:p>
      <w:pPr>
        <w:ind w:left="240" w:right="240"/>
      </w:pPr>
      <w:r>
        <w:t>本周稻米市场</w:t>
      </w:r>
      <w:r>
        <w:rPr>
          <w:rFonts w:hint="eastAsia"/>
        </w:rPr>
        <w:t>稳定运行为主；天气逐渐回暖，稻谷贮存条件继续下降，加之春耕在即，农户售粮积极性较高，市场整体供应充足；需求方面：大米需求清淡，加之各地疫情的反复，部分地区经销商销售量受到一定影响；</w:t>
      </w:r>
      <w:r>
        <w:t>米厂订单</w:t>
      </w:r>
      <w:r>
        <w:rPr>
          <w:rFonts w:hint="eastAsia"/>
        </w:rPr>
        <w:t>寥寥</w:t>
      </w:r>
      <w:r>
        <w:t>，开机率较低，基本按订单采购</w:t>
      </w:r>
      <w:r>
        <w:rPr>
          <w:rFonts w:hint="eastAsia"/>
        </w:rPr>
        <w:t>。</w:t>
      </w:r>
      <w:r>
        <w:t>由于米企开机率低，副产品</w:t>
      </w:r>
      <w:r>
        <w:rPr>
          <w:rFonts w:hint="eastAsia"/>
        </w:rPr>
        <w:t>量</w:t>
      </w:r>
      <w:r>
        <w:t>少，油糠、稻壳价格</w:t>
      </w:r>
      <w:r>
        <w:rPr>
          <w:rFonts w:hint="eastAsia"/>
        </w:rPr>
        <w:t>仍旧</w:t>
      </w:r>
      <w:r>
        <w:t>坚挺</w:t>
      </w:r>
      <w:r>
        <w:rPr>
          <w:rFonts w:hint="eastAsia"/>
        </w:rPr>
        <w:t>，</w:t>
      </w:r>
      <w:r>
        <w:t>粳油糠涨至</w:t>
      </w:r>
      <w:r>
        <w:rPr>
          <w:rFonts w:hint="eastAsia"/>
        </w:rPr>
        <w:t>1.5元/斤，籼油糠涨至1.6元/斤</w:t>
      </w:r>
      <w:r>
        <w:t>；</w:t>
      </w:r>
      <w:r>
        <w:rPr>
          <w:rFonts w:hint="eastAsia"/>
        </w:rPr>
        <w:t>3月8日，国储拍卖粮成交率较低，大部分地区以流拍结束；</w:t>
      </w:r>
      <w:r>
        <w:t>本周糯稻价格</w:t>
      </w:r>
      <w:r>
        <w:rPr>
          <w:rFonts w:hint="eastAsia"/>
        </w:rPr>
        <w:t>趋稳，</w:t>
      </w:r>
      <w:r>
        <w:t>由于价格较低</w:t>
      </w:r>
      <w:r>
        <w:rPr>
          <w:rFonts w:hint="eastAsia"/>
        </w:rPr>
        <w:t>，</w:t>
      </w:r>
      <w:r>
        <w:t>部分贸易商</w:t>
      </w:r>
      <w:r>
        <w:rPr>
          <w:rFonts w:hint="eastAsia"/>
        </w:rPr>
        <w:t>抄底</w:t>
      </w:r>
      <w:r>
        <w:t>存货增多，</w:t>
      </w:r>
      <w:r>
        <w:rPr>
          <w:rFonts w:hint="eastAsia"/>
        </w:rPr>
        <w:t>糯米走货仍旧疲软。</w:t>
      </w:r>
    </w:p>
    <w:bookmarkEnd w:id="4"/>
    <w:bookmarkEnd w:id="7"/>
    <w:bookmarkEnd w:id="8"/>
    <w:bookmarkEnd w:id="9"/>
    <w:p>
      <w:pPr>
        <w:pStyle w:val="4"/>
        <w:ind w:left="240" w:right="240"/>
        <w:rPr>
          <w:rFonts w:ascii="微软雅黑" w:hAnsi="微软雅黑"/>
          <w:szCs w:val="28"/>
        </w:rPr>
      </w:pPr>
      <w:bookmarkStart w:id="11" w:name="_Toc91769618"/>
      <w:r>
        <w:rPr>
          <w:rFonts w:hint="eastAsia" w:ascii="微软雅黑" w:hAnsi="微软雅黑"/>
          <w:szCs w:val="28"/>
        </w:rPr>
        <w:t>第一章 本周稻米市场主要指标概述</w:t>
      </w:r>
      <w:bookmarkEnd w:id="11"/>
    </w:p>
    <w:p>
      <w:pPr>
        <w:pStyle w:val="4"/>
        <w:ind w:left="240" w:right="240"/>
      </w:pPr>
      <w:bookmarkStart w:id="12" w:name="_Toc91769619"/>
      <w:r>
        <w:rPr>
          <w:rFonts w:hint="eastAsia"/>
        </w:rPr>
        <w:t>1</w:t>
      </w:r>
      <w:r>
        <w:t>.1</w:t>
      </w:r>
      <w:r>
        <w:rPr>
          <w:rFonts w:hint="eastAsia"/>
        </w:rPr>
        <w:t>大米市场行情分析</w:t>
      </w:r>
      <w:bookmarkEnd w:id="12"/>
    </w:p>
    <w:p>
      <w:pPr>
        <w:pStyle w:val="6"/>
        <w:ind w:left="240" w:right="240"/>
        <w:jc w:val="center"/>
        <w:rPr>
          <w:rFonts w:ascii="楷体" w:hAnsi="楷体"/>
        </w:rPr>
      </w:pPr>
      <w:r>
        <w:rPr>
          <w:rFonts w:hint="eastAsia" w:ascii="楷体" w:hAnsi="楷体"/>
        </w:rPr>
        <w:t>表1  大米出厂报价</w:t>
      </w:r>
    </w:p>
    <w:p>
      <w:pPr>
        <w:ind w:left="240" w:right="240"/>
        <w:jc w:val="right"/>
      </w:pPr>
      <w:r>
        <w:rPr>
          <w:rFonts w:hint="eastAsia" w:ascii="宋体" w:hAnsi="宋体" w:eastAsia="宋体" w:cs="宋体"/>
        </w:rPr>
        <w:t>单位：元</w:t>
      </w:r>
      <w:r>
        <w:rPr>
          <w:rFonts w:hint="eastAsia"/>
        </w:rPr>
        <w:t>/</w:t>
      </w:r>
      <w:r>
        <w:rPr>
          <w:rFonts w:hint="eastAsia" w:ascii="宋体" w:hAnsi="宋体" w:eastAsia="宋体" w:cs="宋体"/>
        </w:rPr>
        <w:t>斤</w:t>
      </w:r>
    </w:p>
    <w:tbl>
      <w:tblPr>
        <w:tblStyle w:val="25"/>
        <w:tblW w:w="0" w:type="auto"/>
        <w:tblInd w:w="0" w:type="dxa"/>
        <w:tblLayout w:type="fixed"/>
        <w:tblCellMar>
          <w:top w:w="0" w:type="dxa"/>
          <w:left w:w="108" w:type="dxa"/>
          <w:bottom w:w="0" w:type="dxa"/>
          <w:right w:w="108" w:type="dxa"/>
        </w:tblCellMar>
      </w:tblPr>
      <w:tblGrid>
        <w:gridCol w:w="1526"/>
        <w:gridCol w:w="1834"/>
        <w:gridCol w:w="2149"/>
        <w:gridCol w:w="2149"/>
        <w:gridCol w:w="1548"/>
      </w:tblGrid>
      <w:tr>
        <w:tblPrEx>
          <w:tblCellMar>
            <w:top w:w="0" w:type="dxa"/>
            <w:left w:w="108" w:type="dxa"/>
            <w:bottom w:w="0" w:type="dxa"/>
            <w:right w:w="108" w:type="dxa"/>
          </w:tblCellMar>
        </w:tblPrEx>
        <w:trPr>
          <w:trHeight w:val="90" w:hRule="atLeast"/>
        </w:trPr>
        <w:tc>
          <w:tcPr>
            <w:tcW w:w="15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Times New Roman" w:hAnsi="Times New Roman" w:cs="Times New Roman"/>
                <w:b/>
                <w:bCs/>
                <w:color w:val="FFFFFF" w:themeColor="background1"/>
                <w:szCs w:val="24"/>
                <w14:textFill>
                  <w14:solidFill>
                    <w14:schemeClr w14:val="bg1"/>
                  </w14:solidFill>
                </w14:textFill>
              </w:rPr>
            </w:pPr>
            <w:r>
              <w:rPr>
                <w:rFonts w:ascii="Times New Roman" w:hAnsi="Times New Roman" w:cs="Times New Roman"/>
                <w:b/>
                <w:bCs/>
                <w:color w:val="FFFFFF" w:themeColor="background1"/>
                <w:szCs w:val="24"/>
                <w14:textFill>
                  <w14:solidFill>
                    <w14:schemeClr w14:val="bg1"/>
                  </w14:solidFill>
                </w14:textFill>
              </w:rPr>
              <w:t>地区</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Times New Roman" w:hAnsi="Times New Roman" w:cs="Times New Roman"/>
                <w:b/>
                <w:bCs/>
                <w:color w:val="FFFFFF" w:themeColor="background1"/>
                <w:szCs w:val="24"/>
                <w14:textFill>
                  <w14:solidFill>
                    <w14:schemeClr w14:val="bg1"/>
                  </w14:solidFill>
                </w14:textFill>
              </w:rPr>
            </w:pPr>
            <w:r>
              <w:rPr>
                <w:rFonts w:ascii="Times New Roman" w:hAnsi="Times New Roman" w:cs="Times New Roman"/>
                <w:b/>
                <w:bCs/>
                <w:color w:val="FFFFFF" w:themeColor="background1"/>
                <w:szCs w:val="24"/>
                <w14:textFill>
                  <w14:solidFill>
                    <w14:schemeClr w14:val="bg1"/>
                  </w14:solidFill>
                </w14:textFill>
              </w:rPr>
              <w:t>品种</w:t>
            </w:r>
          </w:p>
        </w:tc>
        <w:tc>
          <w:tcPr>
            <w:tcW w:w="21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Times New Roman" w:hAnsi="Times New Roman" w:cs="Times New Roman"/>
                <w:b/>
                <w:bCs/>
                <w:color w:val="FFFFFF" w:themeColor="background1"/>
                <w:szCs w:val="24"/>
                <w14:textFill>
                  <w14:solidFill>
                    <w14:schemeClr w14:val="bg1"/>
                  </w14:solidFill>
                </w14:textFill>
              </w:rPr>
            </w:pPr>
            <w:r>
              <w:rPr>
                <w:rFonts w:ascii="Times New Roman" w:hAnsi="Times New Roman" w:cs="Times New Roman"/>
                <w:b/>
                <w:bCs/>
                <w:color w:val="FFFFFF" w:themeColor="background1"/>
                <w:szCs w:val="24"/>
                <w14:textFill>
                  <w14:solidFill>
                    <w14:schemeClr w14:val="bg1"/>
                  </w14:solidFill>
                </w14:textFill>
              </w:rPr>
              <w:t>上周均价</w:t>
            </w:r>
          </w:p>
        </w:tc>
        <w:tc>
          <w:tcPr>
            <w:tcW w:w="214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Times New Roman" w:hAnsi="Times New Roman" w:cs="Times New Roman"/>
                <w:b/>
                <w:bCs/>
                <w:color w:val="FFFFFF" w:themeColor="background1"/>
                <w:szCs w:val="24"/>
                <w14:textFill>
                  <w14:solidFill>
                    <w14:schemeClr w14:val="bg1"/>
                  </w14:solidFill>
                </w14:textFill>
              </w:rPr>
            </w:pPr>
            <w:r>
              <w:rPr>
                <w:rFonts w:ascii="Times New Roman" w:hAnsi="Times New Roman" w:cs="Times New Roman"/>
                <w:b/>
                <w:bCs/>
                <w:color w:val="FFFFFF" w:themeColor="background1"/>
                <w:szCs w:val="24"/>
                <w14:textFill>
                  <w14:solidFill>
                    <w14:schemeClr w14:val="bg1"/>
                  </w14:solidFill>
                </w14:textFill>
              </w:rPr>
              <w:t>本周均价</w:t>
            </w:r>
          </w:p>
        </w:tc>
        <w:tc>
          <w:tcPr>
            <w:tcW w:w="154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Times New Roman" w:hAnsi="Times New Roman" w:cs="Times New Roman"/>
                <w:b/>
                <w:bCs/>
                <w:color w:val="FFFFFF" w:themeColor="background1"/>
                <w:szCs w:val="24"/>
                <w14:textFill>
                  <w14:solidFill>
                    <w14:schemeClr w14:val="bg1"/>
                  </w14:solidFill>
                </w14:textFill>
              </w:rPr>
            </w:pPr>
            <w:r>
              <w:rPr>
                <w:rFonts w:ascii="Times New Roman" w:hAnsi="Times New Roman" w:cs="Times New Roman"/>
                <w:b/>
                <w:bCs/>
                <w:color w:val="FFFFFF" w:themeColor="background1"/>
                <w:szCs w:val="24"/>
                <w14:textFill>
                  <w14:solidFill>
                    <w14:schemeClr w14:val="bg1"/>
                  </w14:solidFill>
                </w14:textFill>
              </w:rPr>
              <w:t>涨跌</w:t>
            </w:r>
          </w:p>
        </w:tc>
      </w:tr>
      <w:tr>
        <w:tblPrEx>
          <w:tblCellMar>
            <w:top w:w="0" w:type="dxa"/>
            <w:left w:w="108" w:type="dxa"/>
            <w:bottom w:w="0" w:type="dxa"/>
            <w:right w:w="108" w:type="dxa"/>
          </w:tblCellMar>
        </w:tblPrEx>
        <w:trPr>
          <w:trHeight w:val="678" w:hRule="atLeast"/>
        </w:trPr>
        <w:tc>
          <w:tcPr>
            <w:tcW w:w="1526" w:type="dxa"/>
            <w:vMerge w:val="restart"/>
            <w:tcBorders>
              <w:top w:val="single" w:color="FFFFFF" w:themeColor="background1" w:sz="4" w:space="0"/>
            </w:tcBorders>
            <w:shd w:val="clear" w:color="auto" w:fill="auto"/>
            <w:noWrap/>
            <w:vAlign w:val="bottom"/>
          </w:tcPr>
          <w:p>
            <w:pPr>
              <w:pStyle w:val="41"/>
              <w:ind w:right="240" w:firstLine="240" w:firstLineChars="100"/>
              <w:rPr>
                <w:rFonts w:ascii="Times New Roman" w:hAnsi="Times New Roman" w:cs="Times New Roman"/>
                <w:szCs w:val="24"/>
              </w:rPr>
            </w:pPr>
            <w:r>
              <w:rPr>
                <w:rFonts w:hint="eastAsia" w:ascii="Times New Roman" w:hAnsi="Times New Roman" w:cs="Times New Roman"/>
                <w:szCs w:val="24"/>
              </w:rPr>
              <w:t>黑龙江</w:t>
            </w:r>
          </w:p>
        </w:tc>
        <w:tc>
          <w:tcPr>
            <w:tcW w:w="1834" w:type="dxa"/>
            <w:tcBorders>
              <w:top w:val="single" w:color="FFFFFF" w:themeColor="background1" w:sz="4" w:space="0"/>
            </w:tcBorders>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圆粒米</w:t>
            </w:r>
          </w:p>
        </w:tc>
        <w:tc>
          <w:tcPr>
            <w:tcW w:w="2149" w:type="dxa"/>
            <w:tcBorders>
              <w:top w:val="single" w:color="FFFFFF" w:themeColor="background1" w:sz="4" w:space="0"/>
            </w:tcBorders>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1.80</w:t>
            </w:r>
          </w:p>
        </w:tc>
        <w:tc>
          <w:tcPr>
            <w:tcW w:w="2149" w:type="dxa"/>
            <w:tcBorders>
              <w:top w:val="single" w:color="FFFFFF" w:themeColor="background1" w:sz="4" w:space="0"/>
            </w:tcBorders>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1.80</w:t>
            </w:r>
          </w:p>
        </w:tc>
        <w:tc>
          <w:tcPr>
            <w:tcW w:w="1548" w:type="dxa"/>
            <w:tcBorders>
              <w:top w:val="single" w:color="FFFFFF" w:themeColor="background1" w:sz="4" w:space="0"/>
            </w:tcBorders>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0</w:t>
            </w:r>
          </w:p>
        </w:tc>
      </w:tr>
      <w:tr>
        <w:tblPrEx>
          <w:tblCellMar>
            <w:top w:w="0" w:type="dxa"/>
            <w:left w:w="108" w:type="dxa"/>
            <w:bottom w:w="0" w:type="dxa"/>
            <w:right w:w="108" w:type="dxa"/>
          </w:tblCellMar>
        </w:tblPrEx>
        <w:trPr>
          <w:trHeight w:val="654" w:hRule="atLeast"/>
        </w:trPr>
        <w:tc>
          <w:tcPr>
            <w:tcW w:w="1526" w:type="dxa"/>
            <w:vMerge w:val="continue"/>
            <w:shd w:val="clear" w:color="auto" w:fill="auto"/>
            <w:noWrap/>
            <w:vAlign w:val="bottom"/>
          </w:tcPr>
          <w:p>
            <w:pPr>
              <w:pStyle w:val="41"/>
              <w:ind w:left="240" w:right="240"/>
              <w:jc w:val="center"/>
              <w:rPr>
                <w:rFonts w:ascii="Times New Roman" w:hAnsi="Times New Roman" w:cs="Times New Roman"/>
                <w:szCs w:val="24"/>
              </w:rPr>
            </w:pPr>
          </w:p>
        </w:tc>
        <w:tc>
          <w:tcPr>
            <w:tcW w:w="1834" w:type="dxa"/>
            <w:shd w:val="clear" w:color="auto" w:fill="auto"/>
            <w:noWrap/>
            <w:vAlign w:val="bottom"/>
          </w:tcPr>
          <w:p>
            <w:pPr>
              <w:pStyle w:val="41"/>
              <w:ind w:right="240"/>
              <w:jc w:val="center"/>
              <w:rPr>
                <w:rFonts w:ascii="Times New Roman" w:hAnsi="Times New Roman" w:cs="Times New Roman"/>
                <w:szCs w:val="24"/>
              </w:rPr>
            </w:pPr>
            <w:r>
              <w:rPr>
                <w:rFonts w:ascii="Times New Roman" w:hAnsi="Times New Roman" w:cs="Times New Roman"/>
                <w:szCs w:val="24"/>
              </w:rPr>
              <w:t>长粒香米</w:t>
            </w:r>
          </w:p>
        </w:tc>
        <w:tc>
          <w:tcPr>
            <w:tcW w:w="2149"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1.9</w:t>
            </w:r>
            <w:r>
              <w:rPr>
                <w:rFonts w:hint="eastAsia" w:ascii="Times New Roman" w:hAnsi="Times New Roman" w:cs="Times New Roman"/>
                <w:szCs w:val="24"/>
              </w:rPr>
              <w:t>5</w:t>
            </w:r>
          </w:p>
        </w:tc>
        <w:tc>
          <w:tcPr>
            <w:tcW w:w="2149"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1.95</w:t>
            </w:r>
          </w:p>
        </w:tc>
        <w:tc>
          <w:tcPr>
            <w:tcW w:w="1548" w:type="dxa"/>
            <w:shd w:val="clear" w:color="auto" w:fill="auto"/>
            <w:noWrap/>
            <w:vAlign w:val="bottom"/>
          </w:tcPr>
          <w:p>
            <w:pPr>
              <w:pStyle w:val="41"/>
              <w:ind w:left="240" w:right="240"/>
              <w:jc w:val="center"/>
              <w:rPr>
                <w:rFonts w:ascii="Times New Roman" w:hAnsi="Times New Roman" w:cs="Times New Roman"/>
                <w:szCs w:val="24"/>
              </w:rPr>
            </w:pPr>
            <w:r>
              <w:rPr>
                <w:rFonts w:hint="eastAsia" w:ascii="Times New Roman" w:hAnsi="Times New Roman" w:cs="Times New Roman"/>
                <w:color w:val="000000" w:themeColor="text1"/>
                <w:szCs w:val="24"/>
                <w14:textFill>
                  <w14:solidFill>
                    <w14:schemeClr w14:val="tx1"/>
                  </w14:solidFill>
                </w14:textFill>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吉林</w:t>
            </w:r>
          </w:p>
        </w:tc>
        <w:tc>
          <w:tcPr>
            <w:tcW w:w="1834" w:type="dxa"/>
            <w:shd w:val="clear" w:color="auto" w:fill="auto"/>
            <w:noWrap/>
            <w:vAlign w:val="center"/>
          </w:tcPr>
          <w:p>
            <w:pPr>
              <w:pStyle w:val="41"/>
              <w:ind w:right="240"/>
              <w:jc w:val="center"/>
              <w:rPr>
                <w:rFonts w:ascii="Times New Roman" w:hAnsi="Times New Roman" w:cs="Times New Roman"/>
                <w:szCs w:val="24"/>
              </w:rPr>
            </w:pPr>
            <w:r>
              <w:rPr>
                <w:rFonts w:ascii="Times New Roman" w:hAnsi="Times New Roman" w:cs="Times New Roman"/>
                <w:szCs w:val="24"/>
              </w:rPr>
              <w:t>超级稻米</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1.95</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1.95</w:t>
            </w:r>
          </w:p>
        </w:tc>
        <w:tc>
          <w:tcPr>
            <w:tcW w:w="1548"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辽宁</w:t>
            </w:r>
          </w:p>
        </w:tc>
        <w:tc>
          <w:tcPr>
            <w:tcW w:w="1834" w:type="dxa"/>
            <w:shd w:val="clear" w:color="auto" w:fill="auto"/>
            <w:noWrap/>
            <w:vAlign w:val="center"/>
          </w:tcPr>
          <w:p>
            <w:pPr>
              <w:pStyle w:val="41"/>
              <w:ind w:right="240"/>
              <w:jc w:val="center"/>
              <w:rPr>
                <w:rFonts w:ascii="Times New Roman" w:hAnsi="Times New Roman" w:cs="Times New Roman"/>
                <w:szCs w:val="24"/>
              </w:rPr>
            </w:pPr>
            <w:r>
              <w:rPr>
                <w:rFonts w:ascii="Times New Roman" w:hAnsi="Times New Roman" w:cs="Times New Roman"/>
                <w:szCs w:val="24"/>
              </w:rPr>
              <w:t>辽星米</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1.90</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1.90</w:t>
            </w:r>
          </w:p>
        </w:tc>
        <w:tc>
          <w:tcPr>
            <w:tcW w:w="1548"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江苏</w:t>
            </w:r>
          </w:p>
        </w:tc>
        <w:tc>
          <w:tcPr>
            <w:tcW w:w="1834"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粳米</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1.85</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1.85</w:t>
            </w:r>
          </w:p>
        </w:tc>
        <w:tc>
          <w:tcPr>
            <w:tcW w:w="1548"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szCs w:val="24"/>
              </w:rPr>
            </w:pPr>
            <w:r>
              <w:rPr>
                <w:rFonts w:ascii="Times New Roman" w:hAnsi="Times New Roman" w:cs="Times New Roman"/>
                <w:szCs w:val="24"/>
              </w:rPr>
              <w:t>安徽</w:t>
            </w:r>
          </w:p>
        </w:tc>
        <w:tc>
          <w:tcPr>
            <w:tcW w:w="1834" w:type="dxa"/>
            <w:shd w:val="clear" w:color="auto" w:fill="auto"/>
            <w:noWrap/>
            <w:vAlign w:val="center"/>
          </w:tcPr>
          <w:p>
            <w:pPr>
              <w:pStyle w:val="41"/>
              <w:ind w:right="240"/>
              <w:jc w:val="center"/>
              <w:rPr>
                <w:rFonts w:ascii="Times New Roman" w:hAnsi="Times New Roman" w:cs="Times New Roman"/>
                <w:szCs w:val="24"/>
              </w:rPr>
            </w:pPr>
            <w:r>
              <w:rPr>
                <w:rFonts w:ascii="Times New Roman" w:hAnsi="Times New Roman" w:cs="Times New Roman"/>
                <w:szCs w:val="24"/>
              </w:rPr>
              <w:t>丰两优米</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1.86</w:t>
            </w:r>
          </w:p>
        </w:tc>
        <w:tc>
          <w:tcPr>
            <w:tcW w:w="2149" w:type="dxa"/>
            <w:shd w:val="clear" w:color="auto" w:fill="auto"/>
            <w:noWrap/>
            <w:vAlign w:val="center"/>
          </w:tcPr>
          <w:p>
            <w:pPr>
              <w:pStyle w:val="41"/>
              <w:ind w:left="240" w:right="240"/>
              <w:jc w:val="center"/>
              <w:rPr>
                <w:rFonts w:ascii="Times New Roman" w:hAnsi="Times New Roman" w:cs="Times New Roman"/>
                <w:szCs w:val="24"/>
              </w:rPr>
            </w:pPr>
            <w:r>
              <w:rPr>
                <w:rFonts w:ascii="Times New Roman" w:hAnsi="Times New Roman" w:cs="Times New Roman"/>
                <w:szCs w:val="24"/>
              </w:rPr>
              <w:t>1.86</w:t>
            </w:r>
          </w:p>
        </w:tc>
        <w:tc>
          <w:tcPr>
            <w:tcW w:w="1548"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湖南</w:t>
            </w:r>
          </w:p>
        </w:tc>
        <w:tc>
          <w:tcPr>
            <w:tcW w:w="1834" w:type="dxa"/>
            <w:shd w:val="clear" w:color="auto" w:fill="auto"/>
            <w:noWrap/>
            <w:vAlign w:val="center"/>
          </w:tcPr>
          <w:p>
            <w:pPr>
              <w:pStyle w:val="41"/>
              <w:ind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黄华占米</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1.92</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1.92</w:t>
            </w:r>
          </w:p>
        </w:tc>
        <w:tc>
          <w:tcPr>
            <w:tcW w:w="1548" w:type="dxa"/>
            <w:shd w:val="clear" w:color="auto" w:fill="auto"/>
            <w:noWrap/>
          </w:tcPr>
          <w:p>
            <w:pPr>
              <w:ind w:left="240" w:right="240" w:firstLine="24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0</w:t>
            </w:r>
          </w:p>
        </w:tc>
      </w:tr>
      <w:tr>
        <w:tblPrEx>
          <w:tblCellMar>
            <w:top w:w="0" w:type="dxa"/>
            <w:left w:w="108" w:type="dxa"/>
            <w:bottom w:w="0" w:type="dxa"/>
            <w:right w:w="108" w:type="dxa"/>
          </w:tblCellMar>
        </w:tblPrEx>
        <w:trPr>
          <w:trHeight w:val="678" w:hRule="atLeast"/>
        </w:trPr>
        <w:tc>
          <w:tcPr>
            <w:tcW w:w="1526" w:type="dxa"/>
            <w:shd w:val="clear" w:color="auto" w:fill="auto"/>
            <w:noWrap/>
            <w:vAlign w:val="bottom"/>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湖北</w:t>
            </w:r>
          </w:p>
        </w:tc>
        <w:tc>
          <w:tcPr>
            <w:tcW w:w="1834" w:type="dxa"/>
            <w:shd w:val="clear" w:color="auto" w:fill="auto"/>
            <w:noWrap/>
            <w:vAlign w:val="center"/>
          </w:tcPr>
          <w:p>
            <w:pPr>
              <w:pStyle w:val="41"/>
              <w:ind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丰两优米</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1.93</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1.93</w:t>
            </w:r>
          </w:p>
        </w:tc>
        <w:tc>
          <w:tcPr>
            <w:tcW w:w="1548" w:type="dxa"/>
            <w:shd w:val="clear" w:color="auto" w:fill="auto"/>
            <w:noWrap/>
          </w:tcPr>
          <w:p>
            <w:pPr>
              <w:ind w:left="240" w:right="240" w:firstLine="24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0</w:t>
            </w:r>
          </w:p>
        </w:tc>
      </w:tr>
      <w:tr>
        <w:tblPrEx>
          <w:tblCellMar>
            <w:top w:w="0" w:type="dxa"/>
            <w:left w:w="108" w:type="dxa"/>
            <w:bottom w:w="0" w:type="dxa"/>
            <w:right w:w="108" w:type="dxa"/>
          </w:tblCellMar>
        </w:tblPrEx>
        <w:trPr>
          <w:trHeight w:val="713" w:hRule="atLeast"/>
        </w:trPr>
        <w:tc>
          <w:tcPr>
            <w:tcW w:w="1526" w:type="dxa"/>
            <w:shd w:val="clear" w:color="auto" w:fill="auto"/>
            <w:noWrap/>
            <w:vAlign w:val="bottom"/>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江西</w:t>
            </w:r>
          </w:p>
        </w:tc>
        <w:tc>
          <w:tcPr>
            <w:tcW w:w="1834" w:type="dxa"/>
            <w:shd w:val="clear" w:color="auto" w:fill="auto"/>
            <w:noWrap/>
            <w:vAlign w:val="center"/>
          </w:tcPr>
          <w:p>
            <w:pPr>
              <w:pStyle w:val="41"/>
              <w:ind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丰两优米</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1.92</w:t>
            </w:r>
          </w:p>
        </w:tc>
        <w:tc>
          <w:tcPr>
            <w:tcW w:w="2149" w:type="dxa"/>
            <w:shd w:val="clear" w:color="auto" w:fill="auto"/>
            <w:noWrap/>
            <w:vAlign w:val="center"/>
          </w:tcPr>
          <w:p>
            <w:pPr>
              <w:pStyle w:val="41"/>
              <w:ind w:left="240" w:right="24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1.92</w:t>
            </w:r>
          </w:p>
        </w:tc>
        <w:tc>
          <w:tcPr>
            <w:tcW w:w="1548" w:type="dxa"/>
            <w:shd w:val="clear" w:color="auto" w:fill="auto"/>
            <w:noWrap/>
          </w:tcPr>
          <w:p>
            <w:pPr>
              <w:ind w:left="240" w:right="240" w:firstLine="240" w:firstLineChars="1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0</w:t>
            </w:r>
          </w:p>
        </w:tc>
      </w:tr>
    </w:tbl>
    <w:p>
      <w:pPr>
        <w:ind w:left="240" w:right="240"/>
        <w:rPr>
          <w:rFonts w:ascii="楷体" w:hAnsi="楷体"/>
        </w:rPr>
      </w:pPr>
      <w:r>
        <w:rPr>
          <w:rFonts w:hint="eastAsia" w:ascii="楷体" w:hAnsi="楷体"/>
        </w:rPr>
        <w:t>粳米产区：本周粳米市场难改疲软态势，大米走货仍旧缓慢，米企订单有限，截至本周四（3月10日）北方市场粳米主流价格1.80-1.86元/斤，具体以质论价。</w:t>
      </w:r>
    </w:p>
    <w:p>
      <w:pPr>
        <w:ind w:left="240" w:right="240"/>
        <w:rPr>
          <w:rFonts w:ascii="楷体" w:hAnsi="楷体"/>
          <w:color w:val="000000" w:themeColor="text1"/>
          <w14:textFill>
            <w14:solidFill>
              <w14:schemeClr w14:val="tx1"/>
            </w14:solidFill>
          </w14:textFill>
        </w:rPr>
      </w:pPr>
      <w:r>
        <w:rPr>
          <w:rFonts w:hint="eastAsia" w:ascii="楷体" w:hAnsi="楷体"/>
          <w:color w:val="000000" w:themeColor="text1"/>
          <w14:textFill>
            <w14:solidFill>
              <w14:schemeClr w14:val="tx1"/>
            </w14:solidFill>
          </w14:textFill>
        </w:rPr>
        <w:t>籼米产区：本周籼米市场价格呈现整体稳定态势，终端需求难有转好迹象，随着淡季的到来，预计短期将延续低迷局面。截至本周四（3月10日）南方市场籼米主流价格 1.88-1.93 元/斤</w:t>
      </w:r>
      <w:r>
        <w:rPr>
          <w:rFonts w:ascii="楷体" w:hAnsi="楷体"/>
          <w:color w:val="000000" w:themeColor="text1"/>
          <w14:textFill>
            <w14:solidFill>
              <w14:schemeClr w14:val="tx1"/>
            </w14:solidFill>
          </w14:textFill>
        </w:rPr>
        <w:t>。</w:t>
      </w:r>
    </w:p>
    <w:p>
      <w:pPr>
        <w:pStyle w:val="4"/>
        <w:ind w:left="240" w:right="240"/>
      </w:pPr>
      <w:bookmarkStart w:id="13" w:name="_Toc91769620"/>
      <w:r>
        <w:rPr>
          <w:rFonts w:hint="eastAsia"/>
        </w:rPr>
        <w:t>1</w:t>
      </w:r>
      <w:r>
        <w:t>.</w:t>
      </w:r>
      <w:r>
        <w:rPr>
          <w:rFonts w:hint="eastAsia"/>
        </w:rPr>
        <w:t>2稻谷市场行情分析</w:t>
      </w:r>
      <w:bookmarkEnd w:id="13"/>
    </w:p>
    <w:p>
      <w:pPr>
        <w:pStyle w:val="7"/>
        <w:ind w:left="240" w:right="240"/>
        <w:rPr>
          <w:rFonts w:ascii="楷体" w:hAnsi="楷体" w:eastAsia="楷体"/>
          <w:color w:val="023985"/>
        </w:rPr>
      </w:pPr>
      <w:r>
        <w:rPr>
          <w:rFonts w:hint="eastAsia" w:ascii="楷体" w:hAnsi="楷体" w:eastAsia="楷体"/>
          <w:color w:val="023985"/>
        </w:rPr>
        <w:t>表2  稻谷到厂报价</w:t>
      </w:r>
    </w:p>
    <w:p>
      <w:pPr>
        <w:ind w:left="240" w:right="240"/>
        <w:jc w:val="right"/>
        <w:rPr>
          <w:rFonts w:ascii="楷体" w:hAnsi="楷体"/>
          <w:color w:val="000000" w:themeColor="text1"/>
          <w14:textFill>
            <w14:solidFill>
              <w14:schemeClr w14:val="tx1"/>
            </w14:solidFill>
          </w14:textFill>
        </w:rPr>
      </w:pPr>
      <w:r>
        <w:rPr>
          <w:rFonts w:hint="eastAsia" w:ascii="楷体" w:hAnsi="楷体"/>
          <w:color w:val="000000" w:themeColor="text1"/>
          <w14:textFill>
            <w14:solidFill>
              <w14:schemeClr w14:val="tx1"/>
            </w14:solidFill>
          </w14:textFill>
        </w:rPr>
        <w:t>单位：元/斤</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2230"/>
        <w:gridCol w:w="1952"/>
        <w:gridCol w:w="1952"/>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地区</w:t>
            </w:r>
          </w:p>
        </w:tc>
        <w:tc>
          <w:tcPr>
            <w:tcW w:w="1211"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品种</w:t>
            </w:r>
          </w:p>
        </w:tc>
        <w:tc>
          <w:tcPr>
            <w:tcW w:w="106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上周均价</w:t>
            </w:r>
          </w:p>
        </w:tc>
        <w:tc>
          <w:tcPr>
            <w:tcW w:w="106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本周均价</w:t>
            </w:r>
          </w:p>
        </w:tc>
        <w:tc>
          <w:tcPr>
            <w:tcW w:w="76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涨跌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05" w:type="pct"/>
            <w:vMerge w:val="restart"/>
            <w:tcBorders>
              <w:top w:val="single" w:color="FFFFFF" w:themeColor="background1" w:sz="4" w:space="0"/>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黑龙江</w:t>
            </w:r>
          </w:p>
        </w:tc>
        <w:tc>
          <w:tcPr>
            <w:tcW w:w="1211" w:type="pct"/>
            <w:tcBorders>
              <w:top w:val="single" w:color="FFFFFF" w:themeColor="background1" w:sz="4" w:space="0"/>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圆粒粳稻</w:t>
            </w:r>
          </w:p>
        </w:tc>
        <w:tc>
          <w:tcPr>
            <w:tcW w:w="1060" w:type="pct"/>
            <w:tcBorders>
              <w:top w:val="single" w:color="FFFFFF" w:themeColor="background1" w:sz="4" w:space="0"/>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1.27</w:t>
            </w:r>
          </w:p>
        </w:tc>
        <w:tc>
          <w:tcPr>
            <w:tcW w:w="1060" w:type="pct"/>
            <w:tcBorders>
              <w:top w:val="single" w:color="FFFFFF" w:themeColor="background1" w:sz="4" w:space="0"/>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1.27</w:t>
            </w:r>
          </w:p>
        </w:tc>
        <w:tc>
          <w:tcPr>
            <w:tcW w:w="763" w:type="pct"/>
            <w:tcBorders>
              <w:top w:val="single" w:color="FFFFFF" w:themeColor="background1" w:sz="4" w:space="0"/>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5" w:type="pct"/>
            <w:vMerge w:val="continue"/>
            <w:tcBorders>
              <w:top w:val="nil"/>
              <w:left w:val="nil"/>
              <w:bottom w:val="nil"/>
              <w:right w:val="nil"/>
            </w:tcBorders>
            <w:shd w:val="clear" w:color="auto" w:fill="auto"/>
            <w:noWrap/>
            <w:vAlign w:val="bottom"/>
          </w:tcPr>
          <w:p>
            <w:pPr>
              <w:pStyle w:val="41"/>
              <w:ind w:left="240" w:right="240"/>
              <w:jc w:val="center"/>
              <w:rPr>
                <w:rFonts w:ascii="楷体" w:hAnsi="楷体" w:cs="Times New Roman"/>
                <w:szCs w:val="24"/>
              </w:rPr>
            </w:pPr>
          </w:p>
        </w:tc>
        <w:tc>
          <w:tcPr>
            <w:tcW w:w="1211" w:type="pct"/>
            <w:tcBorders>
              <w:top w:val="nil"/>
              <w:left w:val="nil"/>
              <w:bottom w:val="nil"/>
              <w:right w:val="nil"/>
            </w:tcBorders>
            <w:shd w:val="clear" w:color="auto" w:fill="auto"/>
            <w:noWrap/>
            <w:vAlign w:val="bottom"/>
          </w:tcPr>
          <w:p>
            <w:pPr>
              <w:pStyle w:val="41"/>
              <w:ind w:left="240" w:right="240"/>
              <w:jc w:val="both"/>
              <w:rPr>
                <w:rFonts w:ascii="楷体" w:hAnsi="楷体" w:cs="Times New Roman"/>
                <w:szCs w:val="24"/>
              </w:rPr>
            </w:pPr>
            <w:r>
              <w:rPr>
                <w:rFonts w:ascii="楷体" w:hAnsi="楷体" w:cs="Times New Roman"/>
                <w:szCs w:val="24"/>
              </w:rPr>
              <w:t>长粒香稻谷</w:t>
            </w:r>
          </w:p>
        </w:tc>
        <w:tc>
          <w:tcPr>
            <w:tcW w:w="1060" w:type="pct"/>
            <w:tcBorders>
              <w:top w:val="nil"/>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w:t>
            </w:r>
            <w:r>
              <w:rPr>
                <w:rFonts w:hint="eastAsia" w:ascii="Times New Roman" w:hAnsi="Times New Roman" w:eastAsia="宋体" w:cs="Times New Roman"/>
                <w:szCs w:val="24"/>
              </w:rPr>
              <w:t>3</w:t>
            </w:r>
          </w:p>
        </w:tc>
        <w:tc>
          <w:tcPr>
            <w:tcW w:w="1060" w:type="pct"/>
            <w:tcBorders>
              <w:top w:val="nil"/>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w:t>
            </w:r>
            <w:r>
              <w:rPr>
                <w:rFonts w:hint="eastAsia" w:ascii="Times New Roman" w:hAnsi="Times New Roman" w:eastAsia="宋体" w:cs="Times New Roman"/>
                <w:szCs w:val="24"/>
              </w:rPr>
              <w:t>1</w:t>
            </w:r>
          </w:p>
        </w:tc>
        <w:tc>
          <w:tcPr>
            <w:tcW w:w="763" w:type="pct"/>
            <w:tcBorders>
              <w:top w:val="nil"/>
              <w:left w:val="nil"/>
              <w:bottom w:val="nil"/>
              <w:right w:val="nil"/>
            </w:tcBorders>
            <w:shd w:val="clear" w:color="auto" w:fill="auto"/>
            <w:noWrap/>
            <w:vAlign w:val="bottom"/>
          </w:tcPr>
          <w:p>
            <w:pPr>
              <w:pStyle w:val="41"/>
              <w:ind w:left="240" w:right="240"/>
              <w:jc w:val="center"/>
              <w:rPr>
                <w:rFonts w:ascii="Times New Roman" w:hAnsi="Times New Roman" w:eastAsia="宋体" w:cs="Times New Roman"/>
                <w:color w:val="00B050"/>
                <w:szCs w:val="24"/>
              </w:rPr>
            </w:pPr>
            <w:r>
              <w:rPr>
                <w:rFonts w:hint="eastAsia" w:ascii="Times New Roman" w:hAnsi="Times New Roman" w:eastAsia="宋体" w:cs="Times New Roman"/>
                <w:color w:val="00B050"/>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吉林</w:t>
            </w:r>
          </w:p>
        </w:tc>
        <w:tc>
          <w:tcPr>
            <w:tcW w:w="1211" w:type="pct"/>
            <w:tcBorders>
              <w:top w:val="nil"/>
              <w:left w:val="nil"/>
              <w:bottom w:val="nil"/>
              <w:right w:val="nil"/>
            </w:tcBorders>
            <w:shd w:val="clear" w:color="auto" w:fill="auto"/>
            <w:noWrap/>
            <w:vAlign w:val="center"/>
          </w:tcPr>
          <w:p>
            <w:pPr>
              <w:pStyle w:val="41"/>
              <w:ind w:left="240" w:right="240"/>
              <w:jc w:val="center"/>
              <w:rPr>
                <w:rFonts w:ascii="楷体" w:hAnsi="楷体" w:cs="Times New Roman"/>
                <w:szCs w:val="24"/>
              </w:rPr>
            </w:pPr>
            <w:r>
              <w:rPr>
                <w:rFonts w:ascii="楷体" w:hAnsi="楷体" w:cs="Times New Roman"/>
                <w:szCs w:val="24"/>
              </w:rPr>
              <w:t>超级稻谷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1.32</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1.32</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B050"/>
                <w:szCs w:val="24"/>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辽宁</w:t>
            </w:r>
          </w:p>
        </w:tc>
        <w:tc>
          <w:tcPr>
            <w:tcW w:w="1211" w:type="pct"/>
            <w:tcBorders>
              <w:top w:val="nil"/>
              <w:left w:val="nil"/>
              <w:bottom w:val="nil"/>
              <w:right w:val="nil"/>
            </w:tcBorders>
            <w:shd w:val="clear" w:color="auto" w:fill="auto"/>
            <w:noWrap/>
            <w:vAlign w:val="center"/>
          </w:tcPr>
          <w:p>
            <w:pPr>
              <w:pStyle w:val="41"/>
              <w:ind w:left="240" w:right="240"/>
              <w:jc w:val="center"/>
              <w:rPr>
                <w:rFonts w:ascii="楷体" w:hAnsi="楷体" w:cs="Times New Roman"/>
                <w:szCs w:val="24"/>
              </w:rPr>
            </w:pPr>
            <w:r>
              <w:rPr>
                <w:rFonts w:ascii="楷体" w:hAnsi="楷体" w:cs="Times New Roman"/>
                <w:szCs w:val="24"/>
              </w:rPr>
              <w:t>辽星稻谷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1.35</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1.35</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B050"/>
                <w:szCs w:val="24"/>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江苏</w:t>
            </w:r>
          </w:p>
        </w:tc>
        <w:tc>
          <w:tcPr>
            <w:tcW w:w="1211" w:type="pct"/>
            <w:tcBorders>
              <w:top w:val="nil"/>
              <w:left w:val="nil"/>
              <w:bottom w:val="nil"/>
              <w:right w:val="nil"/>
            </w:tcBorders>
            <w:shd w:val="clear" w:color="auto" w:fill="auto"/>
            <w:noWrap/>
            <w:vAlign w:val="center"/>
          </w:tcPr>
          <w:p>
            <w:pPr>
              <w:pStyle w:val="41"/>
              <w:ind w:left="240" w:right="240"/>
              <w:jc w:val="center"/>
              <w:rPr>
                <w:rFonts w:ascii="楷体" w:hAnsi="楷体" w:cs="Times New Roman"/>
                <w:szCs w:val="24"/>
              </w:rPr>
            </w:pPr>
            <w:r>
              <w:rPr>
                <w:rFonts w:ascii="楷体" w:hAnsi="楷体" w:cs="Times New Roman"/>
                <w:szCs w:val="24"/>
              </w:rPr>
              <w:t>粳稻</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1.37</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1.37</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szCs w:val="24"/>
              </w:rPr>
            </w:pPr>
            <w:r>
              <w:rPr>
                <w:rFonts w:ascii="楷体" w:hAnsi="楷体" w:cs="Times New Roman"/>
                <w:szCs w:val="24"/>
              </w:rPr>
              <w:t>安徽</w:t>
            </w:r>
          </w:p>
        </w:tc>
        <w:tc>
          <w:tcPr>
            <w:tcW w:w="1211" w:type="pct"/>
            <w:tcBorders>
              <w:top w:val="nil"/>
              <w:left w:val="nil"/>
              <w:bottom w:val="nil"/>
              <w:right w:val="nil"/>
            </w:tcBorders>
            <w:shd w:val="clear" w:color="auto" w:fill="auto"/>
            <w:noWrap/>
            <w:vAlign w:val="center"/>
          </w:tcPr>
          <w:p>
            <w:pPr>
              <w:pStyle w:val="41"/>
              <w:ind w:left="240" w:right="240"/>
              <w:jc w:val="center"/>
              <w:rPr>
                <w:rFonts w:ascii="楷体" w:hAnsi="楷体" w:cs="Times New Roman"/>
                <w:szCs w:val="24"/>
              </w:rPr>
            </w:pPr>
            <w:r>
              <w:rPr>
                <w:rFonts w:ascii="楷体" w:hAnsi="楷体" w:cs="Times New Roman"/>
                <w:szCs w:val="24"/>
              </w:rPr>
              <w:t>丰两优稻谷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1.28</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szCs w:val="24"/>
              </w:rPr>
            </w:pPr>
            <w:r>
              <w:rPr>
                <w:rFonts w:ascii="Times New Roman" w:hAnsi="Times New Roman" w:eastAsia="宋体" w:cs="Times New Roman"/>
                <w:szCs w:val="24"/>
              </w:rPr>
              <w:t>1.28</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湖南</w:t>
            </w:r>
          </w:p>
        </w:tc>
        <w:tc>
          <w:tcPr>
            <w:tcW w:w="1211" w:type="pct"/>
            <w:tcBorders>
              <w:top w:val="nil"/>
              <w:left w:val="nil"/>
              <w:bottom w:val="nil"/>
              <w:right w:val="nil"/>
            </w:tcBorders>
            <w:shd w:val="clear" w:color="auto" w:fill="auto"/>
            <w:noWrap/>
            <w:vAlign w:val="center"/>
          </w:tcPr>
          <w:p>
            <w:pPr>
              <w:pStyle w:val="41"/>
              <w:ind w:left="240" w:right="240"/>
              <w:jc w:val="center"/>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黄华占稻谷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1.33</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1.33</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湖北</w:t>
            </w:r>
          </w:p>
        </w:tc>
        <w:tc>
          <w:tcPr>
            <w:tcW w:w="1211" w:type="pct"/>
            <w:tcBorders>
              <w:top w:val="nil"/>
              <w:left w:val="nil"/>
              <w:bottom w:val="nil"/>
              <w:right w:val="nil"/>
            </w:tcBorders>
            <w:shd w:val="clear" w:color="auto" w:fill="auto"/>
            <w:noWrap/>
            <w:vAlign w:val="center"/>
          </w:tcPr>
          <w:p>
            <w:pPr>
              <w:pStyle w:val="41"/>
              <w:ind w:left="240" w:right="240"/>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丰两优稻谷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1.30</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1.30</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905" w:type="pct"/>
            <w:tcBorders>
              <w:top w:val="nil"/>
              <w:left w:val="nil"/>
              <w:bottom w:val="nil"/>
              <w:right w:val="nil"/>
            </w:tcBorders>
            <w:shd w:val="clear" w:color="auto" w:fill="auto"/>
            <w:noWrap/>
            <w:vAlign w:val="bottom"/>
          </w:tcPr>
          <w:p>
            <w:pPr>
              <w:pStyle w:val="41"/>
              <w:ind w:left="240" w:right="240"/>
              <w:jc w:val="center"/>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江西</w:t>
            </w:r>
          </w:p>
        </w:tc>
        <w:tc>
          <w:tcPr>
            <w:tcW w:w="1211" w:type="pct"/>
            <w:tcBorders>
              <w:top w:val="nil"/>
              <w:left w:val="nil"/>
              <w:bottom w:val="nil"/>
              <w:right w:val="nil"/>
            </w:tcBorders>
            <w:shd w:val="clear" w:color="auto" w:fill="auto"/>
            <w:noWrap/>
            <w:vAlign w:val="center"/>
          </w:tcPr>
          <w:p>
            <w:pPr>
              <w:pStyle w:val="41"/>
              <w:ind w:left="240" w:right="240"/>
              <w:rPr>
                <w:rFonts w:ascii="楷体" w:hAnsi="楷体" w:cs="Times New Roman"/>
                <w:color w:val="000000" w:themeColor="text1"/>
                <w:szCs w:val="24"/>
                <w14:textFill>
                  <w14:solidFill>
                    <w14:schemeClr w14:val="tx1"/>
                  </w14:solidFill>
                </w14:textFill>
              </w:rPr>
            </w:pPr>
            <w:r>
              <w:rPr>
                <w:rFonts w:ascii="楷体" w:hAnsi="楷体" w:cs="Times New Roman"/>
                <w:color w:val="000000" w:themeColor="text1"/>
                <w:szCs w:val="24"/>
                <w14:textFill>
                  <w14:solidFill>
                    <w14:schemeClr w14:val="tx1"/>
                  </w14:solidFill>
                </w14:textFill>
              </w:rPr>
              <w:t>丰两优稻谷</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1.26</w:t>
            </w:r>
          </w:p>
        </w:tc>
        <w:tc>
          <w:tcPr>
            <w:tcW w:w="1060"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1.26</w:t>
            </w:r>
          </w:p>
        </w:tc>
        <w:tc>
          <w:tcPr>
            <w:tcW w:w="763" w:type="pct"/>
            <w:tcBorders>
              <w:top w:val="nil"/>
              <w:left w:val="nil"/>
              <w:bottom w:val="nil"/>
              <w:right w:val="nil"/>
            </w:tcBorders>
            <w:shd w:val="clear" w:color="auto" w:fill="auto"/>
            <w:noWrap/>
            <w:vAlign w:val="center"/>
          </w:tcPr>
          <w:p>
            <w:pPr>
              <w:pStyle w:val="41"/>
              <w:ind w:left="240" w:right="240"/>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0</w:t>
            </w:r>
          </w:p>
        </w:tc>
      </w:tr>
    </w:tbl>
    <w:p>
      <w:pPr>
        <w:ind w:left="240" w:right="240"/>
      </w:pPr>
      <w:bookmarkStart w:id="14" w:name="_Toc66351512"/>
      <w:bookmarkStart w:id="15" w:name="_Toc66351476"/>
      <w:bookmarkStart w:id="16" w:name="_Toc57975358"/>
      <w:bookmarkStart w:id="17" w:name="_Toc57975284"/>
      <w:r>
        <w:rPr>
          <w:rFonts w:hint="eastAsia"/>
        </w:rPr>
        <w:t>粳稻产区：本周粳稻价格变化不大，临近春耕，农户售粮意愿增强，市场供应充足，部分贸易商有转向其它产品收购的意愿，整体收购量有限，截至本周四（3月10日）北方市场粳稻主流价格1.27-1.37元/斤，具体以质论价。</w:t>
      </w:r>
    </w:p>
    <w:p>
      <w:pPr>
        <w:ind w:left="240" w:right="240"/>
      </w:pPr>
      <w:r>
        <w:rPr>
          <w:rFonts w:hint="eastAsia"/>
          <w:color w:val="000000" w:themeColor="text1"/>
          <w14:textFill>
            <w14:solidFill>
              <w14:schemeClr w14:val="tx1"/>
            </w14:solidFill>
          </w14:textFill>
        </w:rPr>
        <w:t>籼稻产区：</w:t>
      </w:r>
      <w:r>
        <w:rPr>
          <w:rFonts w:hint="eastAsia"/>
        </w:rPr>
        <w:t>进入3月，天气升温，原粮保存条件有限，但米企采购谨慎，按需少量采购为主。截止本周四（3月10日）南方市场籼稻主流价格1.26-1.35元/斤。</w:t>
      </w:r>
    </w:p>
    <w:p>
      <w:pPr>
        <w:pStyle w:val="4"/>
        <w:ind w:left="240" w:right="240"/>
      </w:pPr>
      <w:bookmarkStart w:id="18" w:name="_Toc91769621"/>
      <w:r>
        <w:rPr>
          <w:rFonts w:hint="eastAsia"/>
        </w:rPr>
        <w:t>1.3 销区市场价格行情分析</w:t>
      </w:r>
      <w:bookmarkEnd w:id="18"/>
    </w:p>
    <w:p>
      <w:pPr>
        <w:pStyle w:val="7"/>
        <w:ind w:left="240" w:right="240"/>
        <w:rPr>
          <w:rFonts w:ascii="楷体" w:hAnsi="楷体" w:eastAsia="楷体"/>
          <w:color w:val="023985"/>
        </w:rPr>
      </w:pPr>
      <w:r>
        <w:rPr>
          <w:rFonts w:hint="eastAsia" w:ascii="楷体" w:hAnsi="楷体" w:eastAsia="楷体"/>
          <w:color w:val="023985"/>
        </w:rPr>
        <w:t>表3 部分销区市场大米报价</w:t>
      </w:r>
    </w:p>
    <w:p>
      <w:pPr>
        <w:ind w:left="240" w:right="240"/>
      </w:pPr>
      <w:r>
        <w:rPr>
          <w:rFonts w:hint="eastAsia"/>
        </w:rPr>
        <w:t xml:space="preserve">                                                                                                                       单位：元/公斤</w:t>
      </w:r>
    </w:p>
    <w:tbl>
      <w:tblPr>
        <w:tblStyle w:val="25"/>
        <w:tblW w:w="5000" w:type="pct"/>
        <w:tblInd w:w="0" w:type="dxa"/>
        <w:tblLayout w:type="autofit"/>
        <w:tblCellMar>
          <w:top w:w="0" w:type="dxa"/>
          <w:left w:w="108" w:type="dxa"/>
          <w:bottom w:w="0" w:type="dxa"/>
          <w:right w:w="108" w:type="dxa"/>
        </w:tblCellMar>
      </w:tblPr>
      <w:tblGrid>
        <w:gridCol w:w="1753"/>
        <w:gridCol w:w="1896"/>
        <w:gridCol w:w="1901"/>
        <w:gridCol w:w="1902"/>
        <w:gridCol w:w="1754"/>
      </w:tblGrid>
      <w:tr>
        <w:tblPrEx>
          <w:tblCellMar>
            <w:top w:w="0" w:type="dxa"/>
            <w:left w:w="108" w:type="dxa"/>
            <w:bottom w:w="0" w:type="dxa"/>
            <w:right w:w="108" w:type="dxa"/>
          </w:tblCellMar>
        </w:tblPrEx>
        <w:trPr>
          <w:trHeight w:val="270" w:hRule="atLeast"/>
        </w:trPr>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地区</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品种</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上周批发价</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本周批发价</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涨跌</w:t>
            </w:r>
          </w:p>
        </w:tc>
      </w:tr>
      <w:tr>
        <w:tblPrEx>
          <w:tblCellMar>
            <w:top w:w="0" w:type="dxa"/>
            <w:left w:w="108" w:type="dxa"/>
            <w:bottom w:w="0" w:type="dxa"/>
            <w:right w:w="108" w:type="dxa"/>
          </w:tblCellMar>
        </w:tblPrEx>
        <w:trPr>
          <w:trHeight w:val="270" w:hRule="atLeast"/>
        </w:trPr>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黑龙江</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一级晚粳米</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5.52</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5.52</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w:t>
            </w:r>
          </w:p>
        </w:tc>
      </w:tr>
      <w:tr>
        <w:tblPrEx>
          <w:tblCellMar>
            <w:top w:w="0" w:type="dxa"/>
            <w:left w:w="108" w:type="dxa"/>
            <w:bottom w:w="0" w:type="dxa"/>
            <w:right w:w="108" w:type="dxa"/>
          </w:tblCellMar>
        </w:tblPrEx>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黑龙江</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一级粳糯米</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5.78</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5.78</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w:t>
            </w:r>
          </w:p>
        </w:tc>
      </w:tr>
      <w:tr>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江苏</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一级晚粳米</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4.5</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4.5</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w:t>
            </w:r>
          </w:p>
        </w:tc>
      </w:tr>
      <w:tr>
        <w:tblPrEx>
          <w:tblCellMar>
            <w:top w:w="0" w:type="dxa"/>
            <w:left w:w="108" w:type="dxa"/>
            <w:bottom w:w="0" w:type="dxa"/>
            <w:right w:w="108" w:type="dxa"/>
          </w:tblCellMar>
        </w:tblPrEx>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安徽</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一级晚籼米</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w:t>
            </w:r>
          </w:p>
        </w:tc>
      </w:tr>
      <w:tr>
        <w:tblPrEx>
          <w:tblCellMar>
            <w:top w:w="0" w:type="dxa"/>
            <w:left w:w="108" w:type="dxa"/>
            <w:bottom w:w="0" w:type="dxa"/>
            <w:right w:w="108" w:type="dxa"/>
          </w:tblCellMar>
        </w:tblPrEx>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江西</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一级晚籼米</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4.84</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4.84</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w:t>
            </w:r>
          </w:p>
        </w:tc>
      </w:tr>
    </w:tbl>
    <w:p>
      <w:pPr>
        <w:pStyle w:val="41"/>
        <w:ind w:right="240"/>
      </w:pPr>
      <w:r>
        <w:rPr>
          <w:rFonts w:hint="eastAsia"/>
        </w:rPr>
        <w:t>本周销区市场价格稳定，终端</w:t>
      </w:r>
      <w:r>
        <w:t>消费持续低迷</w:t>
      </w:r>
      <w:r>
        <w:rPr>
          <w:rFonts w:hint="eastAsia"/>
        </w:rPr>
        <w:t>，下游</w:t>
      </w:r>
      <w:r>
        <w:t>需求有限，</w:t>
      </w:r>
      <w:r>
        <w:rPr>
          <w:rFonts w:hint="eastAsia"/>
        </w:rPr>
        <w:t>主体</w:t>
      </w:r>
      <w:r>
        <w:t>采购量较低</w:t>
      </w:r>
      <w:r>
        <w:rPr>
          <w:rFonts w:hint="eastAsia"/>
        </w:rPr>
        <w:t>，</w:t>
      </w:r>
      <w:r>
        <w:t>大米</w:t>
      </w:r>
      <w:r>
        <w:rPr>
          <w:rFonts w:hint="eastAsia"/>
        </w:rPr>
        <w:t>价格</w:t>
      </w:r>
      <w:r>
        <w:t>延续平稳。</w:t>
      </w:r>
    </w:p>
    <w:p>
      <w:pPr>
        <w:pStyle w:val="4"/>
        <w:ind w:right="240"/>
      </w:pPr>
      <w:bookmarkStart w:id="19" w:name="_Toc91769622"/>
      <w:r>
        <w:rPr>
          <w:rFonts w:hint="eastAsia"/>
        </w:rPr>
        <w:t>第二章 国内供需格局分析</w:t>
      </w:r>
      <w:bookmarkEnd w:id="19"/>
    </w:p>
    <w:p>
      <w:pPr>
        <w:pStyle w:val="5"/>
        <w:ind w:left="240" w:right="240"/>
      </w:pPr>
      <w:bookmarkStart w:id="20" w:name="_Toc91769623"/>
      <w:r>
        <w:rPr>
          <w:rFonts w:hint="eastAsia"/>
        </w:rPr>
        <w:t>2</w:t>
      </w:r>
      <w:r>
        <w:t>.1</w:t>
      </w:r>
      <w:r>
        <w:rPr>
          <w:rFonts w:hint="eastAsia"/>
        </w:rPr>
        <w:t xml:space="preserve"> 米厂开机率分析</w:t>
      </w:r>
      <w:bookmarkEnd w:id="20"/>
    </w:p>
    <w:p>
      <w:pPr>
        <w:pStyle w:val="7"/>
        <w:ind w:left="240" w:right="240"/>
        <w:rPr>
          <w:rFonts w:ascii="楷体" w:hAnsi="楷体" w:eastAsia="楷体"/>
          <w:color w:val="023985"/>
        </w:rPr>
      </w:pPr>
      <w:r>
        <w:rPr>
          <w:rFonts w:hint="eastAsia" w:ascii="楷体" w:hAnsi="楷体" w:eastAsia="楷体"/>
          <w:color w:val="023985"/>
        </w:rPr>
        <w:t xml:space="preserve">图1    </w:t>
      </w:r>
      <w:r>
        <w:rPr>
          <w:rFonts w:ascii="楷体" w:hAnsi="楷体" w:eastAsia="楷体"/>
          <w:color w:val="023985"/>
        </w:rPr>
        <w:t xml:space="preserve"> </w:t>
      </w:r>
      <w:r>
        <w:rPr>
          <w:rFonts w:hint="eastAsia" w:ascii="楷体" w:hAnsi="楷体" w:eastAsia="楷体"/>
          <w:color w:val="023985"/>
        </w:rPr>
        <w:t>2019-2021年全国大米主产区米厂平均开机率</w:t>
      </w:r>
    </w:p>
    <w:p>
      <w:pPr>
        <w:ind w:left="240" w:right="240"/>
        <w:jc w:val="center"/>
      </w:pPr>
      <w:r>
        <w:drawing>
          <wp:inline distT="0" distB="0" distL="0" distR="0">
            <wp:extent cx="4967605" cy="2807970"/>
            <wp:effectExtent l="0" t="0" r="23495" b="114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r>
        <mc:AlternateContent>
          <mc:Choice Requires="wps">
            <w:drawing>
              <wp:anchor distT="16510" distB="17145" distL="130810" distR="131445" simplePos="0" relativeHeight="251666432" behindDoc="0" locked="0" layoutInCell="1" allowOverlap="1">
                <wp:simplePos x="0" y="0"/>
                <wp:positionH relativeFrom="column">
                  <wp:posOffset>2425065</wp:posOffset>
                </wp:positionH>
                <wp:positionV relativeFrom="paragraph">
                  <wp:posOffset>1878965</wp:posOffset>
                </wp:positionV>
                <wp:extent cx="635" cy="635"/>
                <wp:effectExtent l="0" t="0" r="0" b="0"/>
                <wp:wrapNone/>
                <wp:docPr id="4" name="墨迹 8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4" name="墨迹 86"/>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墨迹 86" o:spid="_x0000_s1026" o:spt="75" style="position:absolute;left:0pt;margin-left:190.95pt;margin-top:147.95pt;height:0.05pt;width:0.05pt;z-index:251666432;mso-width-relative:page;mso-height-relative:page;" coordsize="21600,21600" o:gfxdata="UEsDBAoAAAAAAIdO4kAAAAAAAAAAAAAAAAAEAAAAZHJzL1BLAwQUAAAACACHTuJAgpkRlNgAAAAL&#10;AQAADwAAAGRycy9kb3ducmV2LnhtbE2PQU/DMAyF70j8h8iTuLGknai60nRCSDsiwZjgmjamrdY4&#10;VZOthV+Pd4Kb7ff0/L1yt7hBXHAKvScNyVqBQGq87anVcHzf3+cgQjRkzeAJNXxjgF11e1OawvqZ&#10;3vByiK3gEAqF0dDFOBZShqZDZ8Laj0isffnJmcjr1Eo7mZnD3SBTpTLpTE/8oTMjPnfYnA5np6G3&#10;9TDh/PnyUY97evKqe/3JFq3vVol6BBFxiX9muOIzOlTMVPsz2SAGDZs82bJVQ7p94IEdmzzldvX1&#10;kimQVSn/d6h+AVBLAwQUAAAACACHTuJALPzJaKwBAACaAwAADgAAAGRycy9lMm9Eb2MueG1snVNB&#10;btswELwX6B8I3mtZiWsEguUgiFEgQJv60D5gQ5EWEZFLLGnL+U5P/UJPfU2BPqMryYrdpEGBXBbk&#10;rrg7szNaXO5dI3aaokVfynwylUJ7hZX1m1J+/fLh3YUUMYGvoEGvS/mgo7xcvn2zaEOhz7DGptIk&#10;uImPRRtKWacUiiyLqtYO4gSD9lw0SA4SX2mTVQQtd3dNdjadzrMWqQqESsfI2dVQlMu+vzFapc/G&#10;RJ1EU0rGlvpIfbzrYrZcQLEhCLVVBxjwChQOrOehj61WkEBsyT5r5awijGjSRKHL0BirdM+B2eTT&#10;J2xu/H3HJJ+pLRUKfdI+rYHSuK++8JoRrpHirv2EFSsC24Ty0JEX838BBtArVFvHeAYVSDeQ2AKx&#10;tiFKQYWtSkk3VX7E73fXRwZrOvK63a1JdN/PpPDgGNKvb99///whLuadPCP926fvIZ8VKnxEdR9H&#10;5fLZMwL/XPjBQ8POe+2Ex+sa/EZfxcCmYSt3s7MXh4+Vl1jtDbnOD7wsse/t9vBoN71PQnFyfv5e&#10;CsX57nAybXg7TjjRnQH95bDTewf25Jda/gFQSwMECgAAAAAAh07iQAAAAAAAAAAAAAAAAAgAAABk&#10;cnMvaW5rL1BLAwQUAAAACACHTuJAMh8cG7cBAABjBAAAEAAAAGRycy9pbmsvaW5rMS54bWytU11P&#10;gzAUfTfxPzT1wRcH5UPciMy3JSaaGKeJPiLU0UjbpS2y/XsvBbrFzQeNkJByb++595yeXt9seI0+&#10;qdJMigwHHsGIikKWTKwy/Py0mEwx0iYXZV5LQTO8pRrfzE9Prpn44HUKXwQIQncrXme4Mmad+n7b&#10;tl4beVKt/JCQyL8VH/d3eD5UlfSdCWagpR5DhRSGbkwHlrIyw4XZELcfsJeyUQV16S6iit0Oo/KC&#10;LqTiuXGIVS4ErZHIOcz9gpHZrmHBoM+KKowamEBDI4794yWvvy9ZHJTwfAOykjD61tC3eqU/z/2g&#10;5Joqw+hOop7QkNiiov+33HqSimpZN52uGH3mdQN0w6kXxUmcuPaBf4TxISaQ/3dMUOdnTG8aB8nV&#10;wZiDTgPXfVGGjPPGeIiGcQqO5WtnFqPB1V14aZT1dUjCYEKSSRg/kWkazdIg7Eww9uqtOOK9qUZX&#10;DutN7UxnM066nlrLSlM59YlHLh2lfd2PlVaUrSrzt9pC1hI8PRz6GbHPHifbzzE8cv+sEdFwCx/p&#10;e4bP7BVEtrIPWO6X8QwlJECzKI4vzgm8k245imdxXCM4nP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BwAAW0NvbnRlbnRfVHlw&#10;ZXNdLnhtbFBLAQIUAAoAAAAAAIdO4kAAAAAAAAAAAAAAAAAGAAAAAAAAAAAAEAAAAAoFAABfcmVs&#10;cy9QSwECFAAUAAAACACHTuJAihRmPNEAAACUAQAACwAAAAAAAAABACAAAAAuBQAAX3JlbHMvLnJl&#10;bHNQSwECFAAKAAAAAACHTuJAAAAAAAAAAAAAAAAABAAAAAAAAAAAABAAAAAAAAAAZHJzL1BLAQIU&#10;AAoAAAAAAIdO4kAAAAAAAAAAAAAAAAAKAAAAAAAAAAAAEAAAACgGAABkcnMvX3JlbHMvUEsBAhQA&#10;FAAAAAgAh07iQHkYvJ24AAAAIQEAABkAAAAAAAAAAQAgAAAAUAYAAGRycy9fcmVscy9lMm9Eb2Mu&#10;eG1sLnJlbHNQSwECFAAUAAAACACHTuJAgpkRlNgAAAALAQAADwAAAAAAAAABACAAAAAiAAAAZHJz&#10;L2Rvd25yZXYueG1sUEsBAhQAFAAAAAgAh07iQCz8yWisAQAAmgMAAA4AAAAAAAAAAQAgAAAAJwEA&#10;AGRycy9lMm9Eb2MueG1sUEsBAhQACgAAAAAAh07iQAAAAAAAAAAAAAAAAAgAAAAAAAAAAAAQAAAA&#10;/wIAAGRycy9pbmsvUEsBAhQAFAAAAAgAh07iQDIfHBu3AQAAYwQAABAAAAAAAAAAAQAgAAAAJQMA&#10;AGRycy9pbmsvaW5rMS54bWxQSwUGAAAAAAoACgBMAgAAdQgAAAAA&#10;">
                <v:imagedata r:id="rId17" o:title=""/>
                <o:lock v:ext="edit"/>
              </v:shape>
            </w:pict>
          </mc:Fallback>
        </mc:AlternateContent>
      </w:r>
    </w:p>
    <w:p>
      <w:pPr>
        <w:ind w:left="240" w:right="240"/>
        <w:rPr>
          <w:rFonts w:ascii="楷体" w:hAnsi="楷体"/>
        </w:rPr>
      </w:pPr>
      <w:r>
        <w:rPr>
          <w:rFonts w:hint="eastAsia" w:ascii="楷体" w:hAnsi="楷体"/>
        </w:rPr>
        <w:t>本周全国米厂平均开工率10%左右，基本与上周持平，提升幅度较为缓慢，大部分米企按单开停机，接单情况不理想，预计下周开机率仍稳定为主。</w:t>
      </w:r>
    </w:p>
    <w:p>
      <w:pPr>
        <w:pStyle w:val="5"/>
        <w:ind w:left="240" w:right="240"/>
      </w:pPr>
      <w:bookmarkStart w:id="21" w:name="_Toc91769624"/>
      <w:r>
        <w:rPr>
          <w:rFonts w:hint="eastAsia"/>
        </w:rPr>
        <w:t>2.2国储拍卖情况</w:t>
      </w:r>
      <w:bookmarkEnd w:id="21"/>
    </w:p>
    <w:bookmarkEnd w:id="14"/>
    <w:bookmarkEnd w:id="15"/>
    <w:bookmarkEnd w:id="16"/>
    <w:bookmarkEnd w:id="17"/>
    <w:p>
      <w:pPr>
        <w:pStyle w:val="7"/>
        <w:ind w:firstLine="241" w:firstLineChars="100"/>
        <w:rPr>
          <w:rFonts w:ascii="楷体" w:hAnsi="楷体" w:eastAsia="楷体"/>
          <w:color w:val="023985"/>
        </w:rPr>
      </w:pPr>
      <w:bookmarkStart w:id="22" w:name="_Toc91769625"/>
      <w:r>
        <w:rPr>
          <w:rFonts w:ascii="楷体" w:hAnsi="楷体" w:eastAsia="楷体"/>
          <w:color w:val="023985"/>
        </w:rPr>
        <w:t>表</w:t>
      </w:r>
      <w:r>
        <w:rPr>
          <w:rFonts w:hint="eastAsia" w:ascii="楷体" w:hAnsi="楷体" w:eastAsia="楷体"/>
          <w:color w:val="023985"/>
        </w:rPr>
        <w:t>4     3</w:t>
      </w:r>
      <w:r>
        <w:rPr>
          <w:rFonts w:ascii="楷体" w:hAnsi="楷体" w:eastAsia="楷体"/>
          <w:color w:val="023985"/>
        </w:rPr>
        <w:t>月</w:t>
      </w:r>
      <w:r>
        <w:rPr>
          <w:rFonts w:hint="eastAsia" w:ascii="楷体" w:hAnsi="楷体" w:eastAsia="楷体"/>
          <w:color w:val="023985"/>
        </w:rPr>
        <w:t>8</w:t>
      </w:r>
      <w:r>
        <w:rPr>
          <w:rFonts w:ascii="楷体" w:hAnsi="楷体" w:eastAsia="楷体"/>
          <w:color w:val="023985"/>
        </w:rPr>
        <w:t>日最低收购价稻谷(2017-2020年)交易结果</w:t>
      </w:r>
    </w:p>
    <w:p>
      <w:pPr>
        <w:jc w:val="right"/>
        <w:rPr>
          <w:rFonts w:ascii="楷体" w:hAnsi="楷体"/>
        </w:rPr>
      </w:pPr>
      <w:r>
        <w:rPr>
          <w:rFonts w:hint="eastAsia"/>
        </w:rPr>
        <w:t xml:space="preserve">                                                                                            </w:t>
      </w:r>
      <w:r>
        <w:rPr>
          <w:rFonts w:hint="eastAsia" w:ascii="楷体" w:hAnsi="楷体"/>
        </w:rPr>
        <w:t>单位：数量，吨；价格：元/公斤</w:t>
      </w:r>
    </w:p>
    <w:tbl>
      <w:tblPr>
        <w:tblStyle w:val="25"/>
        <w:tblW w:w="5000" w:type="pct"/>
        <w:tblInd w:w="0" w:type="dxa"/>
        <w:tblLayout w:type="autofit"/>
        <w:tblCellMar>
          <w:top w:w="0" w:type="dxa"/>
          <w:left w:w="108" w:type="dxa"/>
          <w:bottom w:w="0" w:type="dxa"/>
          <w:right w:w="108" w:type="dxa"/>
        </w:tblCellMar>
      </w:tblPr>
      <w:tblGrid>
        <w:gridCol w:w="1841"/>
        <w:gridCol w:w="1841"/>
        <w:gridCol w:w="1841"/>
        <w:gridCol w:w="1841"/>
        <w:gridCol w:w="1842"/>
      </w:tblGrid>
      <w:tr>
        <w:tblPrEx>
          <w:tblCellMar>
            <w:top w:w="0" w:type="dxa"/>
            <w:left w:w="108" w:type="dxa"/>
            <w:bottom w:w="0" w:type="dxa"/>
            <w:right w:w="108" w:type="dxa"/>
          </w:tblCellMar>
        </w:tblPrEx>
        <w:trPr>
          <w:trHeight w:val="270" w:hRule="atLeast"/>
        </w:trPr>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hint="eastAsia" w:ascii="楷体" w:hAnsi="楷体" w:cs="Times New Roman"/>
                <w:b/>
                <w:bCs/>
                <w:color w:val="FFFFFF" w:themeColor="background1"/>
                <w:szCs w:val="24"/>
                <w14:textFill>
                  <w14:solidFill>
                    <w14:schemeClr w14:val="bg1"/>
                  </w14:solidFill>
                </w14:textFill>
              </w:rPr>
            </w:pPr>
            <w:bookmarkStart w:id="37" w:name="_GoBack" w:colFirst="0" w:colLast="4"/>
            <w:r>
              <w:rPr>
                <w:rFonts w:hint="eastAsia" w:ascii="楷体" w:hAnsi="楷体" w:cs="Times New Roman"/>
                <w:b/>
                <w:bCs/>
                <w:color w:val="FFFFFF" w:themeColor="background1"/>
                <w:szCs w:val="24"/>
                <w14:textFill>
                  <w14:solidFill>
                    <w14:schemeClr w14:val="bg1"/>
                  </w14:solidFill>
                </w14:textFill>
              </w:rPr>
              <w:t>品种</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hint="eastAsia"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计划数量</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hint="eastAsia"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成交数量</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hint="eastAsia"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成交率</w:t>
            </w:r>
          </w:p>
        </w:tc>
        <w:tc>
          <w:tcPr>
            <w:tcW w:w="10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bottom"/>
          </w:tcPr>
          <w:p>
            <w:pPr>
              <w:pStyle w:val="41"/>
              <w:ind w:left="240" w:right="240"/>
              <w:jc w:val="center"/>
              <w:rPr>
                <w:rFonts w:hint="eastAsia" w:ascii="楷体" w:hAnsi="楷体" w:cs="Times New Roman"/>
                <w:b/>
                <w:bCs/>
                <w:color w:val="FFFFFF" w:themeColor="background1"/>
                <w:szCs w:val="24"/>
                <w14:textFill>
                  <w14:solidFill>
                    <w14:schemeClr w14:val="bg1"/>
                  </w14:solidFill>
                </w14:textFill>
              </w:rPr>
            </w:pPr>
            <w:r>
              <w:rPr>
                <w:rFonts w:hint="eastAsia" w:ascii="楷体" w:hAnsi="楷体" w:cs="Times New Roman"/>
                <w:b/>
                <w:bCs/>
                <w:color w:val="FFFFFF" w:themeColor="background1"/>
                <w:szCs w:val="24"/>
                <w14:textFill>
                  <w14:solidFill>
                    <w14:schemeClr w14:val="bg1"/>
                  </w14:solidFill>
                </w14:textFill>
              </w:rPr>
              <w:t>平均价</w:t>
            </w:r>
          </w:p>
        </w:tc>
      </w:tr>
      <w:bookmarkEnd w:id="37"/>
      <w:tr>
        <w:tblPrEx>
          <w:tblCellMar>
            <w:top w:w="0" w:type="dxa"/>
            <w:left w:w="108" w:type="dxa"/>
            <w:bottom w:w="0" w:type="dxa"/>
            <w:right w:w="108" w:type="dxa"/>
          </w:tblCellMar>
        </w:tblPrEx>
        <w:trPr>
          <w:trHeight w:val="270" w:hRule="atLeast"/>
        </w:trPr>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粳稻</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594230</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4634</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0.78%</w:t>
            </w:r>
          </w:p>
        </w:tc>
        <w:tc>
          <w:tcPr>
            <w:tcW w:w="1000" w:type="pct"/>
            <w:tcBorders>
              <w:top w:val="single" w:color="FFFFFF" w:themeColor="background1" w:sz="4" w:space="0"/>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2642.41</w:t>
            </w:r>
          </w:p>
        </w:tc>
      </w:tr>
      <w:tr>
        <w:tblPrEx>
          <w:tblCellMar>
            <w:top w:w="0" w:type="dxa"/>
            <w:left w:w="108" w:type="dxa"/>
            <w:bottom w:w="0" w:type="dxa"/>
            <w:right w:w="108" w:type="dxa"/>
          </w:tblCellMar>
        </w:tblPrEx>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籼稻</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1148270</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37089</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3.23%</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2466.99</w:t>
            </w:r>
          </w:p>
        </w:tc>
      </w:tr>
      <w:tr>
        <w:tblPrEx>
          <w:tblCellMar>
            <w:top w:w="0" w:type="dxa"/>
            <w:left w:w="108" w:type="dxa"/>
            <w:bottom w:w="0" w:type="dxa"/>
            <w:right w:w="108" w:type="dxa"/>
          </w:tblCellMar>
        </w:tblPrEx>
        <w:trPr>
          <w:trHeight w:val="270" w:hRule="atLeast"/>
        </w:trPr>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合计</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1742500</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41723</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2.39%</w:t>
            </w:r>
          </w:p>
        </w:tc>
        <w:tc>
          <w:tcPr>
            <w:tcW w:w="1000" w:type="pct"/>
            <w:tcBorders>
              <w:top w:val="nil"/>
            </w:tcBorders>
            <w:shd w:val="clear" w:color="auto" w:fill="auto"/>
            <w:noWrap/>
            <w:vAlign w:val="bottom"/>
          </w:tcPr>
          <w:p>
            <w:pPr>
              <w:pStyle w:val="41"/>
              <w:ind w:left="240" w:right="240"/>
              <w:jc w:val="center"/>
              <w:rPr>
                <w:rFonts w:hint="eastAsia" w:ascii="楷体" w:hAnsi="楷体" w:cs="Times New Roman"/>
                <w:szCs w:val="24"/>
              </w:rPr>
            </w:pPr>
            <w:r>
              <w:rPr>
                <w:rFonts w:hint="eastAsia" w:ascii="楷体" w:hAnsi="楷体" w:cs="Times New Roman"/>
                <w:szCs w:val="24"/>
              </w:rPr>
              <w:t>-</w:t>
            </w:r>
          </w:p>
        </w:tc>
      </w:tr>
    </w:tbl>
    <w:p>
      <w:pPr>
        <w:ind w:firstLine="0" w:firstLineChars="0"/>
      </w:pPr>
      <w:r>
        <w:rPr>
          <w:rFonts w:hint="eastAsia"/>
        </w:rPr>
        <w:t xml:space="preserve"> 本周国储拍卖交易1次，共投放174.2万吨，成交量4.17万吨，成交率2.39%，其中粳稻成交率0.78%，籼稻成交率3.23%，参与主体较少，大部分地区流拍。</w:t>
      </w:r>
    </w:p>
    <w:p>
      <w:pPr>
        <w:pStyle w:val="4"/>
        <w:ind w:left="240" w:right="240"/>
      </w:pPr>
      <w:r>
        <w:rPr>
          <w:rFonts w:hint="eastAsia"/>
        </w:rPr>
        <w:t>第三章副产品和相关产品情况</w:t>
      </w:r>
      <w:bookmarkEnd w:id="22"/>
    </w:p>
    <w:p>
      <w:pPr>
        <w:pStyle w:val="5"/>
        <w:ind w:left="240" w:right="240"/>
        <w:rPr>
          <w:rFonts w:ascii="楷体" w:hAnsi="楷体" w:eastAsia="楷体"/>
        </w:rPr>
      </w:pPr>
      <w:bookmarkStart w:id="23" w:name="_Toc91769626"/>
      <w:bookmarkStart w:id="24" w:name="_Toc66351478"/>
      <w:bookmarkStart w:id="25" w:name="_Toc57975286"/>
      <w:bookmarkStart w:id="26" w:name="_Toc66351514"/>
      <w:bookmarkStart w:id="27" w:name="_Toc57975360"/>
      <w:r>
        <w:rPr>
          <w:rFonts w:hint="eastAsia"/>
        </w:rPr>
        <w:t>3.1副产品行情回顾</w:t>
      </w:r>
      <w:bookmarkEnd w:id="23"/>
    </w:p>
    <w:bookmarkEnd w:id="24"/>
    <w:bookmarkEnd w:id="25"/>
    <w:bookmarkEnd w:id="26"/>
    <w:bookmarkEnd w:id="27"/>
    <w:p>
      <w:pPr>
        <w:pStyle w:val="7"/>
        <w:ind w:left="240" w:right="240"/>
        <w:rPr>
          <w:rFonts w:ascii="楷体" w:hAnsi="楷体" w:eastAsia="楷体"/>
          <w:color w:val="023985"/>
        </w:rPr>
      </w:pPr>
      <w:bookmarkStart w:id="28" w:name="_Toc66355783"/>
      <w:bookmarkStart w:id="29" w:name="_Toc66355207"/>
      <w:bookmarkStart w:id="30" w:name="_Toc67034098"/>
      <w:bookmarkStart w:id="31" w:name="_Toc66354831"/>
      <w:bookmarkStart w:id="32" w:name="_Toc66441105"/>
      <w:r>
        <w:rPr>
          <w:rFonts w:hint="eastAsia" w:ascii="楷体" w:hAnsi="楷体" w:eastAsia="楷体"/>
          <w:color w:val="023985"/>
        </w:rPr>
        <w:t>表</w:t>
      </w:r>
      <w:bookmarkEnd w:id="28"/>
      <w:bookmarkEnd w:id="29"/>
      <w:bookmarkEnd w:id="30"/>
      <w:bookmarkEnd w:id="31"/>
      <w:bookmarkEnd w:id="32"/>
      <w:r>
        <w:rPr>
          <w:rFonts w:hint="eastAsia" w:ascii="楷体" w:hAnsi="楷体" w:eastAsia="楷体"/>
          <w:color w:val="023985"/>
        </w:rPr>
        <w:t>5 大米副产品行情回顾</w:t>
      </w:r>
    </w:p>
    <w:tbl>
      <w:tblPr>
        <w:tblStyle w:val="25"/>
        <w:tblW w:w="9356" w:type="dxa"/>
        <w:tblInd w:w="108" w:type="dxa"/>
        <w:tblLayout w:type="fixed"/>
        <w:tblCellMar>
          <w:top w:w="0" w:type="dxa"/>
          <w:left w:w="108" w:type="dxa"/>
          <w:bottom w:w="0" w:type="dxa"/>
          <w:right w:w="108" w:type="dxa"/>
        </w:tblCellMar>
      </w:tblPr>
      <w:tblGrid>
        <w:gridCol w:w="933"/>
        <w:gridCol w:w="910"/>
        <w:gridCol w:w="23"/>
        <w:gridCol w:w="933"/>
        <w:gridCol w:w="1029"/>
        <w:gridCol w:w="850"/>
        <w:gridCol w:w="851"/>
        <w:gridCol w:w="1275"/>
        <w:gridCol w:w="803"/>
        <w:gridCol w:w="851"/>
        <w:gridCol w:w="898"/>
      </w:tblGrid>
      <w:tr>
        <w:tblPrEx>
          <w:tblCellMar>
            <w:top w:w="0" w:type="dxa"/>
            <w:left w:w="108" w:type="dxa"/>
            <w:bottom w:w="0" w:type="dxa"/>
            <w:right w:w="108" w:type="dxa"/>
          </w:tblCellMar>
        </w:tblPrEx>
        <w:trPr>
          <w:trHeight w:val="318" w:hRule="atLeast"/>
        </w:trPr>
        <w:tc>
          <w:tcPr>
            <w:tcW w:w="933" w:type="dxa"/>
            <w:vMerge w:val="restar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地区</w:t>
            </w:r>
          </w:p>
        </w:tc>
        <w:tc>
          <w:tcPr>
            <w:tcW w:w="2895" w:type="dxa"/>
            <w:gridSpan w:val="4"/>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油糠（元/斤）</w:t>
            </w:r>
          </w:p>
        </w:tc>
        <w:tc>
          <w:tcPr>
            <w:tcW w:w="2976"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毛碎米（元/斤）</w:t>
            </w:r>
          </w:p>
        </w:tc>
        <w:tc>
          <w:tcPr>
            <w:tcW w:w="2552"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稻壳（元/吨）</w:t>
            </w:r>
          </w:p>
        </w:tc>
      </w:tr>
      <w:tr>
        <w:tblPrEx>
          <w:tblCellMar>
            <w:top w:w="0" w:type="dxa"/>
            <w:left w:w="108" w:type="dxa"/>
            <w:bottom w:w="0" w:type="dxa"/>
            <w:right w:w="108" w:type="dxa"/>
          </w:tblCellMar>
        </w:tblPrEx>
        <w:trPr>
          <w:trHeight w:val="318" w:hRule="atLeast"/>
        </w:trPr>
        <w:tc>
          <w:tcPr>
            <w:tcW w:w="933" w:type="dxa"/>
            <w:vMerge w:val="continue"/>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p>
        </w:tc>
        <w:tc>
          <w:tcPr>
            <w:tcW w:w="933"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上周</w:t>
            </w:r>
          </w:p>
        </w:tc>
        <w:tc>
          <w:tcPr>
            <w:tcW w:w="93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本周</w:t>
            </w:r>
          </w:p>
        </w:tc>
        <w:tc>
          <w:tcPr>
            <w:tcW w:w="10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涨跌</w:t>
            </w:r>
          </w:p>
        </w:tc>
        <w:tc>
          <w:tcPr>
            <w:tcW w:w="85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上周</w:t>
            </w:r>
          </w:p>
        </w:tc>
        <w:tc>
          <w:tcPr>
            <w:tcW w:w="85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本周</w:t>
            </w:r>
          </w:p>
        </w:tc>
        <w:tc>
          <w:tcPr>
            <w:tcW w:w="12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涨跌</w:t>
            </w:r>
          </w:p>
        </w:tc>
        <w:tc>
          <w:tcPr>
            <w:tcW w:w="80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上周</w:t>
            </w:r>
          </w:p>
        </w:tc>
        <w:tc>
          <w:tcPr>
            <w:tcW w:w="85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jc w:val="center"/>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本周</w:t>
            </w:r>
          </w:p>
        </w:tc>
        <w:tc>
          <w:tcPr>
            <w:tcW w:w="89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23985"/>
            <w:noWrap/>
            <w:vAlign w:val="center"/>
          </w:tcPr>
          <w:p>
            <w:pPr>
              <w:pStyle w:val="41"/>
              <w:ind w:left="240" w:right="240"/>
              <w:rPr>
                <w:rFonts w:ascii="楷体" w:hAnsi="楷体" w:cs="Times New Roman"/>
                <w:b/>
                <w:bCs/>
                <w:color w:val="FFFFFF" w:themeColor="background1"/>
                <w:szCs w:val="24"/>
                <w14:textFill>
                  <w14:solidFill>
                    <w14:schemeClr w14:val="bg1"/>
                  </w14:solidFill>
                </w14:textFill>
              </w:rPr>
            </w:pPr>
            <w:r>
              <w:rPr>
                <w:rFonts w:ascii="楷体" w:hAnsi="楷体" w:cs="Times New Roman"/>
                <w:b/>
                <w:bCs/>
                <w:color w:val="FFFFFF" w:themeColor="background1"/>
                <w:szCs w:val="24"/>
                <w14:textFill>
                  <w14:solidFill>
                    <w14:schemeClr w14:val="bg1"/>
                  </w14:solidFill>
                </w14:textFill>
              </w:rPr>
              <w:t>涨跌</w:t>
            </w:r>
          </w:p>
        </w:tc>
      </w:tr>
      <w:tr>
        <w:tblPrEx>
          <w:tblCellMar>
            <w:top w:w="0" w:type="dxa"/>
            <w:left w:w="108" w:type="dxa"/>
            <w:bottom w:w="0" w:type="dxa"/>
            <w:right w:w="108" w:type="dxa"/>
          </w:tblCellMar>
        </w:tblPrEx>
        <w:trPr>
          <w:trHeight w:val="318" w:hRule="atLeast"/>
        </w:trPr>
        <w:tc>
          <w:tcPr>
            <w:tcW w:w="933" w:type="dxa"/>
            <w:tcBorders>
              <w:top w:val="single" w:color="FFFFFF" w:themeColor="background1" w:sz="4" w:space="0"/>
            </w:tcBorders>
            <w:shd w:val="clear" w:color="auto" w:fill="FFFFFF" w:themeFill="background1"/>
            <w:noWrap/>
          </w:tcPr>
          <w:p>
            <w:pPr>
              <w:pStyle w:val="41"/>
              <w:ind w:right="240"/>
              <w:rPr>
                <w:rFonts w:ascii="Times New Roman" w:hAnsi="Times New Roman" w:cs="Times New Roman"/>
                <w:b/>
                <w:sz w:val="22"/>
              </w:rPr>
            </w:pPr>
            <w:r>
              <w:rPr>
                <w:rFonts w:ascii="Times New Roman" w:hAnsi="Times New Roman" w:cs="Times New Roman"/>
                <w:b/>
                <w:sz w:val="22"/>
              </w:rPr>
              <w:t>黑龙江</w:t>
            </w:r>
          </w:p>
        </w:tc>
        <w:tc>
          <w:tcPr>
            <w:tcW w:w="910"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w:t>
            </w:r>
            <w:r>
              <w:rPr>
                <w:rFonts w:hint="eastAsia" w:ascii="Times New Roman" w:hAnsi="Times New Roman" w:cs="Times New Roman"/>
                <w:sz w:val="22"/>
              </w:rPr>
              <w:t>8</w:t>
            </w:r>
          </w:p>
        </w:tc>
        <w:tc>
          <w:tcPr>
            <w:tcW w:w="956" w:type="dxa"/>
            <w:gridSpan w:val="2"/>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1.38</w:t>
            </w:r>
          </w:p>
        </w:tc>
        <w:tc>
          <w:tcPr>
            <w:tcW w:w="1029"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sz w:val="22"/>
                <w14:textFill>
                  <w14:solidFill>
                    <w14:schemeClr w14:val="tx1"/>
                  </w14:solidFill>
                </w14:textFill>
              </w:rPr>
              <w:t>0</w:t>
            </w:r>
          </w:p>
        </w:tc>
        <w:tc>
          <w:tcPr>
            <w:tcW w:w="850"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1.30</w:t>
            </w:r>
          </w:p>
        </w:tc>
        <w:tc>
          <w:tcPr>
            <w:tcW w:w="851"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1.30</w:t>
            </w:r>
          </w:p>
        </w:tc>
        <w:tc>
          <w:tcPr>
            <w:tcW w:w="1275" w:type="dxa"/>
            <w:tcBorders>
              <w:top w:val="single" w:color="FFFFFF" w:themeColor="background1" w:sz="4" w:space="0"/>
            </w:tcBorders>
            <w:shd w:val="clear" w:color="auto" w:fill="FFFFFF" w:themeFill="background1"/>
            <w:noWrap/>
          </w:tcPr>
          <w:p>
            <w:pPr>
              <w:pStyle w:val="41"/>
              <w:ind w:left="240" w:right="240"/>
              <w:jc w:val="center"/>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0</w:t>
            </w:r>
          </w:p>
        </w:tc>
        <w:tc>
          <w:tcPr>
            <w:tcW w:w="803"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500</w:t>
            </w:r>
          </w:p>
        </w:tc>
        <w:tc>
          <w:tcPr>
            <w:tcW w:w="851" w:type="dxa"/>
            <w:tcBorders>
              <w:top w:val="single" w:color="FFFFFF" w:themeColor="background1" w:sz="4" w:space="0"/>
            </w:tcBorders>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500</w:t>
            </w:r>
          </w:p>
        </w:tc>
        <w:tc>
          <w:tcPr>
            <w:tcW w:w="898" w:type="dxa"/>
            <w:tcBorders>
              <w:top w:val="single" w:color="FFFFFF" w:themeColor="background1" w:sz="4" w:space="0"/>
            </w:tcBorders>
            <w:shd w:val="clear" w:color="auto" w:fill="FFFFFF" w:themeFill="background1"/>
            <w:noWrap/>
          </w:tcPr>
          <w:p>
            <w:pPr>
              <w:pStyle w:val="41"/>
              <w:ind w:left="240" w:right="240"/>
              <w:jc w:val="center"/>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noWrap/>
          </w:tcPr>
          <w:p>
            <w:pPr>
              <w:pStyle w:val="41"/>
              <w:ind w:right="240"/>
              <w:rPr>
                <w:rFonts w:ascii="Times New Roman" w:hAnsi="Times New Roman" w:cs="Times New Roman"/>
                <w:b/>
                <w:sz w:val="22"/>
              </w:rPr>
            </w:pPr>
            <w:r>
              <w:rPr>
                <w:rFonts w:ascii="Times New Roman" w:hAnsi="Times New Roman" w:cs="Times New Roman"/>
                <w:b/>
                <w:sz w:val="22"/>
              </w:rPr>
              <w:t>吉林</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1.40</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1.42</w:t>
            </w:r>
          </w:p>
        </w:tc>
        <w:tc>
          <w:tcPr>
            <w:tcW w:w="1029"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0.02</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1.32</w:t>
            </w:r>
          </w:p>
        </w:tc>
        <w:tc>
          <w:tcPr>
            <w:tcW w:w="1275" w:type="dxa"/>
            <w:shd w:val="clear" w:color="auto" w:fill="FFFFFF" w:themeFill="background1"/>
            <w:noWrap/>
          </w:tcPr>
          <w:p>
            <w:pPr>
              <w:pStyle w:val="41"/>
              <w:ind w:right="240" w:firstLine="220" w:firstLineChars="100"/>
              <w:rPr>
                <w:rFonts w:ascii="Times New Roman" w:hAnsi="Times New Roman" w:cs="Times New Roman"/>
                <w:sz w:val="22"/>
              </w:rPr>
            </w:pPr>
            <w:r>
              <w:rPr>
                <w:rFonts w:ascii="Times New Roman" w:hAnsi="Times New Roman" w:cs="Times New Roman"/>
                <w:color w:val="FF0000"/>
                <w:sz w:val="22"/>
              </w:rPr>
              <w:t>0.02</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400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400</w:t>
            </w:r>
          </w:p>
        </w:tc>
        <w:tc>
          <w:tcPr>
            <w:tcW w:w="898" w:type="dxa"/>
            <w:shd w:val="clear" w:color="auto" w:fill="FFFFFF" w:themeFill="background1"/>
            <w:noWrap/>
          </w:tcPr>
          <w:p>
            <w:pPr>
              <w:pStyle w:val="41"/>
              <w:ind w:left="240" w:right="240"/>
              <w:jc w:val="center"/>
              <w:rPr>
                <w:rFonts w:ascii="Times New Roman" w:hAnsi="Times New Roman" w:cs="Times New Roman"/>
                <w:sz w:val="22"/>
              </w:rPr>
            </w:pPr>
            <w:r>
              <w:rPr>
                <w:rFonts w:ascii="Times New Roman" w:hAnsi="Times New Roman" w:cs="Times New Roman"/>
                <w:sz w:val="22"/>
              </w:rPr>
              <w:t>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noWrap/>
          </w:tcPr>
          <w:p>
            <w:pPr>
              <w:pStyle w:val="41"/>
              <w:ind w:right="240"/>
              <w:rPr>
                <w:rFonts w:ascii="Times New Roman" w:hAnsi="Times New Roman" w:cs="Times New Roman"/>
                <w:b/>
                <w:sz w:val="22"/>
              </w:rPr>
            </w:pPr>
            <w:r>
              <w:rPr>
                <w:rFonts w:ascii="Times New Roman" w:hAnsi="Times New Roman" w:cs="Times New Roman"/>
                <w:b/>
                <w:sz w:val="22"/>
              </w:rPr>
              <w:t>辽宁</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1.38</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1.40</w:t>
            </w:r>
          </w:p>
        </w:tc>
        <w:tc>
          <w:tcPr>
            <w:tcW w:w="1029"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0.02</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1.35</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1.38</w:t>
            </w:r>
          </w:p>
        </w:tc>
        <w:tc>
          <w:tcPr>
            <w:tcW w:w="1275" w:type="dxa"/>
            <w:shd w:val="clear" w:color="auto" w:fill="FFFFFF" w:themeFill="background1"/>
            <w:noWrap/>
          </w:tcPr>
          <w:p>
            <w:pPr>
              <w:pStyle w:val="41"/>
              <w:ind w:left="240" w:right="240"/>
              <w:rPr>
                <w:rFonts w:ascii="Times New Roman" w:hAnsi="Times New Roman" w:cs="Times New Roman"/>
                <w:color w:val="FF0000"/>
                <w:sz w:val="22"/>
              </w:rPr>
            </w:pPr>
            <w:r>
              <w:rPr>
                <w:rFonts w:ascii="Times New Roman" w:hAnsi="Times New Roman" w:cs="Times New Roman"/>
                <w:color w:val="FF0000"/>
                <w:sz w:val="22"/>
              </w:rPr>
              <w:t>0.03</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480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480</w:t>
            </w:r>
          </w:p>
        </w:tc>
        <w:tc>
          <w:tcPr>
            <w:tcW w:w="898"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 xml:space="preserve">    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noWrap/>
          </w:tcPr>
          <w:p>
            <w:pPr>
              <w:pStyle w:val="41"/>
              <w:ind w:right="240"/>
              <w:rPr>
                <w:rFonts w:ascii="Times New Roman" w:hAnsi="Times New Roman" w:cs="Times New Roman"/>
                <w:b/>
                <w:sz w:val="22"/>
              </w:rPr>
            </w:pPr>
            <w:r>
              <w:rPr>
                <w:rFonts w:ascii="Times New Roman" w:hAnsi="Times New Roman" w:cs="Times New Roman"/>
                <w:b/>
                <w:sz w:val="22"/>
              </w:rPr>
              <w:t>江苏</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40</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w:t>
            </w:r>
            <w:r>
              <w:rPr>
                <w:rFonts w:hint="eastAsia" w:ascii="Times New Roman" w:hAnsi="Times New Roman" w:cs="Times New Roman"/>
                <w:sz w:val="22"/>
              </w:rPr>
              <w:t>5</w:t>
            </w:r>
          </w:p>
        </w:tc>
        <w:tc>
          <w:tcPr>
            <w:tcW w:w="1029" w:type="dxa"/>
            <w:shd w:val="clear" w:color="auto" w:fill="FFFFFF" w:themeFill="background1"/>
            <w:noWrap/>
          </w:tcPr>
          <w:p>
            <w:pPr>
              <w:pStyle w:val="41"/>
              <w:ind w:right="240"/>
              <w:jc w:val="center"/>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FF0000"/>
                <w:sz w:val="22"/>
              </w:rPr>
              <w:t>0.05</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1.35</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1.35</w:t>
            </w:r>
          </w:p>
        </w:tc>
        <w:tc>
          <w:tcPr>
            <w:tcW w:w="1275" w:type="dxa"/>
            <w:shd w:val="clear" w:color="auto" w:fill="FFFFFF" w:themeFill="background1"/>
            <w:noWrap/>
          </w:tcPr>
          <w:p>
            <w:pPr>
              <w:pStyle w:val="41"/>
              <w:ind w:left="240" w:right="240" w:firstLine="110" w:firstLineChars="50"/>
              <w:rPr>
                <w:rFonts w:ascii="Times New Roman" w:hAnsi="Times New Roman" w:cs="Times New Roman"/>
                <w:color w:val="FF0000"/>
                <w:sz w:val="22"/>
              </w:rPr>
            </w:pPr>
            <w:r>
              <w:rPr>
                <w:rFonts w:ascii="Times New Roman" w:hAnsi="Times New Roman" w:cs="Times New Roman"/>
                <w:color w:val="000000" w:themeColor="text1"/>
                <w:sz w:val="22"/>
                <w14:textFill>
                  <w14:solidFill>
                    <w14:schemeClr w14:val="tx1"/>
                  </w14:solidFill>
                </w14:textFill>
              </w:rPr>
              <w:t>0</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600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hint="eastAsia" w:ascii="Times New Roman" w:hAnsi="Times New Roman" w:cs="Times New Roman"/>
                <w:sz w:val="22"/>
              </w:rPr>
              <w:t>680</w:t>
            </w:r>
          </w:p>
        </w:tc>
        <w:tc>
          <w:tcPr>
            <w:tcW w:w="898"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 xml:space="preserve">    </w:t>
            </w:r>
            <w:r>
              <w:rPr>
                <w:rFonts w:hint="eastAsia" w:ascii="Times New Roman" w:hAnsi="Times New Roman" w:cs="Times New Roman"/>
                <w:color w:val="FF0000"/>
                <w:sz w:val="22"/>
              </w:rPr>
              <w:t>80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tcPr>
          <w:p>
            <w:pPr>
              <w:pStyle w:val="41"/>
              <w:ind w:right="240"/>
              <w:jc w:val="center"/>
              <w:rPr>
                <w:rFonts w:ascii="Times New Roman" w:hAnsi="Times New Roman" w:cs="Times New Roman"/>
                <w:b/>
                <w:sz w:val="22"/>
              </w:rPr>
            </w:pPr>
            <w:r>
              <w:rPr>
                <w:rFonts w:ascii="Times New Roman" w:hAnsi="Times New Roman" w:cs="Times New Roman"/>
                <w:b/>
                <w:sz w:val="22"/>
              </w:rPr>
              <w:t>湖南</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1.40</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1.42</w:t>
            </w:r>
          </w:p>
        </w:tc>
        <w:tc>
          <w:tcPr>
            <w:tcW w:w="1029"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0.02</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1.42</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1.43</w:t>
            </w:r>
          </w:p>
        </w:tc>
        <w:tc>
          <w:tcPr>
            <w:tcW w:w="1275"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 xml:space="preserve">  0.01</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500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500</w:t>
            </w:r>
          </w:p>
        </w:tc>
        <w:tc>
          <w:tcPr>
            <w:tcW w:w="898" w:type="dxa"/>
            <w:shd w:val="clear" w:color="auto" w:fill="FFFFFF" w:themeFill="background1"/>
            <w:noWrap/>
          </w:tcPr>
          <w:p>
            <w:pPr>
              <w:pStyle w:val="41"/>
              <w:ind w:left="240" w:right="240"/>
              <w:jc w:val="center"/>
              <w:rPr>
                <w:rFonts w:ascii="Times New Roman" w:hAnsi="Times New Roman" w:cs="Times New Roman"/>
                <w:color w:val="FF0000"/>
                <w:sz w:val="22"/>
              </w:rPr>
            </w:pPr>
            <w:r>
              <w:rPr>
                <w:rFonts w:ascii="Times New Roman" w:hAnsi="Times New Roman" w:cs="Times New Roman"/>
                <w:color w:val="000000" w:themeColor="text1"/>
                <w:sz w:val="22"/>
                <w14:textFill>
                  <w14:solidFill>
                    <w14:schemeClr w14:val="tx1"/>
                  </w14:solidFill>
                </w14:textFill>
              </w:rPr>
              <w:t>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tcPr>
          <w:p>
            <w:pPr>
              <w:pStyle w:val="41"/>
              <w:ind w:right="240"/>
              <w:rPr>
                <w:rFonts w:ascii="Times New Roman" w:hAnsi="Times New Roman" w:cs="Times New Roman"/>
                <w:b/>
                <w:sz w:val="22"/>
              </w:rPr>
            </w:pPr>
            <w:r>
              <w:rPr>
                <w:rFonts w:ascii="Times New Roman" w:hAnsi="Times New Roman" w:cs="Times New Roman"/>
                <w:b/>
                <w:sz w:val="22"/>
              </w:rPr>
              <w:t>湖北</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1.50</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1.55</w:t>
            </w:r>
          </w:p>
        </w:tc>
        <w:tc>
          <w:tcPr>
            <w:tcW w:w="1029"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0.05</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1.42</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1.45</w:t>
            </w:r>
          </w:p>
        </w:tc>
        <w:tc>
          <w:tcPr>
            <w:tcW w:w="1275" w:type="dxa"/>
            <w:shd w:val="clear" w:color="auto" w:fill="FFFFFF" w:themeFill="background1"/>
            <w:noWrap/>
          </w:tcPr>
          <w:p>
            <w:pPr>
              <w:pStyle w:val="41"/>
              <w:ind w:left="240" w:right="240"/>
              <w:rPr>
                <w:rFonts w:ascii="Times New Roman" w:hAnsi="Times New Roman" w:cs="Times New Roman"/>
                <w:color w:val="FF0000"/>
                <w:sz w:val="22"/>
              </w:rPr>
            </w:pPr>
            <w:r>
              <w:rPr>
                <w:rFonts w:ascii="Times New Roman" w:hAnsi="Times New Roman" w:cs="Times New Roman"/>
                <w:color w:val="FF0000"/>
                <w:sz w:val="22"/>
              </w:rPr>
              <w:t>0.03</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600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600</w:t>
            </w:r>
          </w:p>
        </w:tc>
        <w:tc>
          <w:tcPr>
            <w:tcW w:w="898" w:type="dxa"/>
            <w:shd w:val="clear" w:color="auto" w:fill="FFFFFF" w:themeFill="background1"/>
            <w:noWrap/>
          </w:tcPr>
          <w:p>
            <w:pPr>
              <w:pStyle w:val="41"/>
              <w:ind w:left="240" w:right="240"/>
              <w:jc w:val="center"/>
              <w:rPr>
                <w:rFonts w:ascii="Times New Roman" w:hAnsi="Times New Roman" w:cs="Times New Roman"/>
                <w:color w:val="FF0000"/>
                <w:sz w:val="22"/>
              </w:rPr>
            </w:pPr>
            <w:r>
              <w:rPr>
                <w:rFonts w:ascii="Times New Roman" w:hAnsi="Times New Roman" w:cs="Times New Roman"/>
                <w:color w:val="000000" w:themeColor="text1"/>
                <w:sz w:val="22"/>
                <w14:textFill>
                  <w14:solidFill>
                    <w14:schemeClr w14:val="tx1"/>
                  </w14:solidFill>
                </w14:textFill>
              </w:rPr>
              <w:t>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tcPr>
          <w:p>
            <w:pPr>
              <w:pStyle w:val="41"/>
              <w:ind w:right="240"/>
              <w:jc w:val="center"/>
              <w:rPr>
                <w:rFonts w:ascii="Times New Roman" w:hAnsi="Times New Roman" w:cs="Times New Roman"/>
                <w:b/>
                <w:sz w:val="22"/>
              </w:rPr>
            </w:pPr>
            <w:r>
              <w:rPr>
                <w:rFonts w:ascii="Times New Roman" w:hAnsi="Times New Roman" w:cs="Times New Roman"/>
                <w:b/>
                <w:sz w:val="22"/>
              </w:rPr>
              <w:t>安徽</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42</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50</w:t>
            </w:r>
          </w:p>
        </w:tc>
        <w:tc>
          <w:tcPr>
            <w:tcW w:w="1029" w:type="dxa"/>
            <w:shd w:val="clear" w:color="auto" w:fill="FFFFFF" w:themeFill="background1"/>
            <w:noWrap/>
          </w:tcPr>
          <w:p>
            <w:pPr>
              <w:pStyle w:val="41"/>
              <w:ind w:right="240"/>
              <w:jc w:val="center"/>
              <w:rPr>
                <w:rFonts w:ascii="Times New Roman" w:hAnsi="Times New Roman" w:cs="Times New Roman"/>
                <w:color w:val="00B050"/>
                <w:sz w:val="22"/>
              </w:rPr>
            </w:pPr>
            <w:r>
              <w:rPr>
                <w:rFonts w:ascii="Times New Roman" w:hAnsi="Times New Roman" w:cs="Times New Roman"/>
                <w:color w:val="FF0000"/>
                <w:sz w:val="22"/>
              </w:rPr>
              <w:t>0.0</w:t>
            </w:r>
            <w:r>
              <w:rPr>
                <w:rFonts w:hint="eastAsia" w:ascii="Times New Roman" w:hAnsi="Times New Roman" w:cs="Times New Roman"/>
                <w:color w:val="FF0000"/>
                <w:sz w:val="22"/>
              </w:rPr>
              <w:t>8</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1.3</w:t>
            </w:r>
            <w:r>
              <w:rPr>
                <w:rFonts w:hint="eastAsia" w:ascii="Times New Roman" w:hAnsi="Times New Roman" w:cs="Times New Roman"/>
                <w:sz w:val="22"/>
              </w:rPr>
              <w:t>5</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w:t>
            </w:r>
            <w:r>
              <w:rPr>
                <w:rFonts w:hint="eastAsia" w:ascii="Times New Roman" w:hAnsi="Times New Roman" w:cs="Times New Roman"/>
                <w:sz w:val="22"/>
              </w:rPr>
              <w:t>40</w:t>
            </w:r>
          </w:p>
        </w:tc>
        <w:tc>
          <w:tcPr>
            <w:tcW w:w="1275" w:type="dxa"/>
            <w:shd w:val="clear" w:color="auto" w:fill="FFFFFF" w:themeFill="background1"/>
            <w:noWrap/>
          </w:tcPr>
          <w:p>
            <w:pPr>
              <w:pStyle w:val="41"/>
              <w:ind w:left="240" w:right="240"/>
              <w:rPr>
                <w:rFonts w:ascii="Times New Roman" w:hAnsi="Times New Roman" w:cs="Times New Roman"/>
                <w:sz w:val="22"/>
              </w:rPr>
            </w:pPr>
            <w:r>
              <w:rPr>
                <w:rFonts w:hint="eastAsia" w:ascii="Times New Roman" w:hAnsi="Times New Roman" w:cs="Times New Roman"/>
                <w:color w:val="FF0000"/>
                <w:sz w:val="22"/>
              </w:rPr>
              <w:t>0.05</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550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hint="eastAsia" w:ascii="Times New Roman" w:hAnsi="Times New Roman" w:cs="Times New Roman"/>
                <w:sz w:val="22"/>
              </w:rPr>
              <w:t>650</w:t>
            </w:r>
          </w:p>
        </w:tc>
        <w:tc>
          <w:tcPr>
            <w:tcW w:w="898"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color w:val="FF0000"/>
                <w:sz w:val="22"/>
              </w:rPr>
              <w:t xml:space="preserve">    </w:t>
            </w:r>
            <w:r>
              <w:rPr>
                <w:rFonts w:hint="eastAsia" w:ascii="Times New Roman" w:hAnsi="Times New Roman" w:cs="Times New Roman"/>
                <w:color w:val="FF0000"/>
                <w:sz w:val="22"/>
              </w:rPr>
              <w:t>80</w:t>
            </w:r>
          </w:p>
        </w:tc>
      </w:tr>
      <w:tr>
        <w:tblPrEx>
          <w:tblCellMar>
            <w:top w:w="0" w:type="dxa"/>
            <w:left w:w="108" w:type="dxa"/>
            <w:bottom w:w="0" w:type="dxa"/>
            <w:right w:w="108" w:type="dxa"/>
          </w:tblCellMar>
        </w:tblPrEx>
        <w:trPr>
          <w:trHeight w:val="318" w:hRule="atLeast"/>
        </w:trPr>
        <w:tc>
          <w:tcPr>
            <w:tcW w:w="933" w:type="dxa"/>
            <w:shd w:val="clear" w:color="auto" w:fill="FFFFFF" w:themeFill="background1"/>
          </w:tcPr>
          <w:p>
            <w:pPr>
              <w:pStyle w:val="41"/>
              <w:ind w:right="240"/>
              <w:jc w:val="center"/>
              <w:rPr>
                <w:rFonts w:ascii="Times New Roman" w:hAnsi="Times New Roman" w:cs="Times New Roman"/>
                <w:b/>
                <w:sz w:val="22"/>
              </w:rPr>
            </w:pPr>
            <w:r>
              <w:rPr>
                <w:rFonts w:ascii="Times New Roman" w:hAnsi="Times New Roman" w:cs="Times New Roman"/>
                <w:b/>
                <w:sz w:val="22"/>
              </w:rPr>
              <w:t>江西</w:t>
            </w:r>
          </w:p>
        </w:tc>
        <w:tc>
          <w:tcPr>
            <w:tcW w:w="91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1.50</w:t>
            </w:r>
          </w:p>
        </w:tc>
        <w:tc>
          <w:tcPr>
            <w:tcW w:w="956" w:type="dxa"/>
            <w:gridSpan w:val="2"/>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1.52</w:t>
            </w:r>
          </w:p>
        </w:tc>
        <w:tc>
          <w:tcPr>
            <w:tcW w:w="1029" w:type="dxa"/>
            <w:shd w:val="clear" w:color="auto" w:fill="FFFFFF" w:themeFill="background1"/>
            <w:noWrap/>
          </w:tcPr>
          <w:p>
            <w:pPr>
              <w:pStyle w:val="41"/>
              <w:ind w:right="240"/>
              <w:jc w:val="center"/>
              <w:rPr>
                <w:rFonts w:ascii="Times New Roman" w:hAnsi="Times New Roman" w:cs="Times New Roman"/>
                <w:color w:val="FF0000"/>
                <w:sz w:val="22"/>
              </w:rPr>
            </w:pPr>
            <w:r>
              <w:rPr>
                <w:rFonts w:ascii="Times New Roman" w:hAnsi="Times New Roman" w:cs="Times New Roman"/>
                <w:color w:val="FF0000"/>
                <w:sz w:val="22"/>
              </w:rPr>
              <w:t>0.0</w:t>
            </w:r>
            <w:r>
              <w:rPr>
                <w:rFonts w:hint="eastAsia" w:ascii="Times New Roman" w:hAnsi="Times New Roman" w:cs="Times New Roman"/>
                <w:color w:val="FF0000"/>
                <w:sz w:val="22"/>
              </w:rPr>
              <w:t>2</w:t>
            </w:r>
          </w:p>
        </w:tc>
        <w:tc>
          <w:tcPr>
            <w:tcW w:w="850"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1.44</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1.44</w:t>
            </w:r>
          </w:p>
        </w:tc>
        <w:tc>
          <w:tcPr>
            <w:tcW w:w="1275"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color w:val="000000" w:themeColor="text1"/>
                <w:sz w:val="22"/>
                <w14:textFill>
                  <w14:solidFill>
                    <w14:schemeClr w14:val="tx1"/>
                  </w14:solidFill>
                </w14:textFill>
              </w:rPr>
              <w:t>0</w:t>
            </w:r>
          </w:p>
        </w:tc>
        <w:tc>
          <w:tcPr>
            <w:tcW w:w="803"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580</w:t>
            </w:r>
          </w:p>
        </w:tc>
        <w:tc>
          <w:tcPr>
            <w:tcW w:w="851" w:type="dxa"/>
            <w:shd w:val="clear" w:color="auto" w:fill="FFFFFF" w:themeFill="background1"/>
            <w:noWrap/>
          </w:tcPr>
          <w:p>
            <w:pPr>
              <w:pStyle w:val="41"/>
              <w:ind w:right="240"/>
              <w:jc w:val="center"/>
              <w:rPr>
                <w:rFonts w:ascii="Times New Roman" w:hAnsi="Times New Roman" w:cs="Times New Roman"/>
                <w:sz w:val="22"/>
              </w:rPr>
            </w:pPr>
            <w:r>
              <w:rPr>
                <w:rFonts w:ascii="Times New Roman" w:hAnsi="Times New Roman" w:cs="Times New Roman"/>
                <w:sz w:val="22"/>
              </w:rPr>
              <w:t>580</w:t>
            </w:r>
          </w:p>
        </w:tc>
        <w:tc>
          <w:tcPr>
            <w:tcW w:w="898" w:type="dxa"/>
            <w:shd w:val="clear" w:color="auto" w:fill="FFFFFF" w:themeFill="background1"/>
            <w:noWrap/>
          </w:tcPr>
          <w:p>
            <w:pPr>
              <w:pStyle w:val="41"/>
              <w:ind w:right="240"/>
              <w:jc w:val="center"/>
              <w:rPr>
                <w:rFonts w:ascii="Times New Roman" w:hAnsi="Times New Roman" w:cs="Times New Roman"/>
                <w:color w:val="FFFFFF" w:themeColor="background1"/>
                <w:sz w:val="22"/>
                <w14:textFill>
                  <w14:solidFill>
                    <w14:schemeClr w14:val="bg1"/>
                  </w14:solidFill>
                </w14:textFill>
              </w:rPr>
            </w:pPr>
            <w:r>
              <w:rPr>
                <w:rFonts w:ascii="Times New Roman" w:hAnsi="Times New Roman" w:cs="Times New Roman"/>
                <w:color w:val="000000" w:themeColor="text1"/>
                <w:sz w:val="22"/>
                <w14:textFill>
                  <w14:solidFill>
                    <w14:schemeClr w14:val="tx1"/>
                  </w14:solidFill>
                </w14:textFill>
              </w:rPr>
              <w:t xml:space="preserve">    0</w:t>
            </w:r>
          </w:p>
        </w:tc>
      </w:tr>
    </w:tbl>
    <w:p>
      <w:pPr>
        <w:ind w:left="240" w:right="240"/>
        <w:rPr>
          <w:rFonts w:ascii="楷体" w:hAnsi="楷体"/>
          <w:color w:val="000000" w:themeColor="text1"/>
          <w14:textFill>
            <w14:solidFill>
              <w14:schemeClr w14:val="tx1"/>
            </w14:solidFill>
          </w14:textFill>
        </w:rPr>
      </w:pPr>
      <w:r>
        <w:rPr>
          <w:rFonts w:ascii="楷体" w:hAnsi="楷体"/>
          <w:color w:val="000000" w:themeColor="text1"/>
          <w14:textFill>
            <w14:solidFill>
              <w14:schemeClr w14:val="tx1"/>
            </w14:solidFill>
          </w14:textFill>
        </w:rPr>
        <w:t>本周</w:t>
      </w:r>
      <w:r>
        <w:rPr>
          <w:rFonts w:hint="eastAsia" w:ascii="楷体" w:hAnsi="楷体"/>
          <w:color w:val="000000" w:themeColor="text1"/>
          <w14:textFill>
            <w14:solidFill>
              <w14:schemeClr w14:val="tx1"/>
            </w14:solidFill>
          </w14:textFill>
        </w:rPr>
        <w:t>全国米企开机低位，副产品紧缺，大部分地区价格继续上涨。</w:t>
      </w:r>
      <w:r>
        <w:rPr>
          <w:rFonts w:ascii="楷体" w:hAnsi="楷体"/>
          <w:color w:val="000000" w:themeColor="text1"/>
          <w14:textFill>
            <w14:solidFill>
              <w14:schemeClr w14:val="tx1"/>
            </w14:solidFill>
          </w14:textFill>
        </w:rPr>
        <w:t>截至本周</w:t>
      </w:r>
      <w:r>
        <w:rPr>
          <w:rFonts w:hint="eastAsia" w:ascii="楷体" w:hAnsi="楷体"/>
          <w:color w:val="000000" w:themeColor="text1"/>
          <w14:textFill>
            <w14:solidFill>
              <w14:schemeClr w14:val="tx1"/>
            </w14:solidFill>
          </w14:textFill>
        </w:rPr>
        <w:t>四</w:t>
      </w:r>
      <w:r>
        <w:rPr>
          <w:rFonts w:ascii="楷体" w:hAnsi="楷体"/>
          <w:color w:val="000000" w:themeColor="text1"/>
          <w14:textFill>
            <w14:solidFill>
              <w14:schemeClr w14:val="tx1"/>
            </w14:solidFill>
          </w14:textFill>
        </w:rPr>
        <w:t>（3月</w:t>
      </w:r>
      <w:r>
        <w:rPr>
          <w:rFonts w:hint="eastAsia" w:ascii="楷体" w:hAnsi="楷体"/>
          <w:color w:val="000000" w:themeColor="text1"/>
          <w14:textFill>
            <w14:solidFill>
              <w14:schemeClr w14:val="tx1"/>
            </w14:solidFill>
          </w14:textFill>
        </w:rPr>
        <w:t>10</w:t>
      </w:r>
      <w:r>
        <w:rPr>
          <w:rFonts w:ascii="楷体" w:hAnsi="楷体"/>
          <w:color w:val="000000" w:themeColor="text1"/>
          <w14:textFill>
            <w14:solidFill>
              <w14:schemeClr w14:val="tx1"/>
            </w14:solidFill>
          </w14:textFill>
        </w:rPr>
        <w:t>日）</w:t>
      </w:r>
      <w:r>
        <w:rPr>
          <w:rFonts w:hint="eastAsia" w:ascii="楷体" w:hAnsi="楷体"/>
          <w:color w:val="000000" w:themeColor="text1"/>
          <w14:textFill>
            <w14:solidFill>
              <w14:schemeClr w14:val="tx1"/>
            </w14:solidFill>
          </w14:textFill>
        </w:rPr>
        <w:t>北方粳</w:t>
      </w:r>
      <w:r>
        <w:rPr>
          <w:rFonts w:ascii="楷体" w:hAnsi="楷体"/>
          <w:color w:val="000000" w:themeColor="text1"/>
          <w14:textFill>
            <w14:solidFill>
              <w14:schemeClr w14:val="tx1"/>
            </w14:solidFill>
          </w14:textFill>
        </w:rPr>
        <w:t>油糠主流价格1.</w:t>
      </w:r>
      <w:r>
        <w:rPr>
          <w:rFonts w:hint="eastAsia" w:ascii="楷体" w:hAnsi="楷体"/>
          <w:color w:val="000000" w:themeColor="text1"/>
          <w14:textFill>
            <w14:solidFill>
              <w14:schemeClr w14:val="tx1"/>
            </w14:solidFill>
          </w14:textFill>
        </w:rPr>
        <w:t>40</w:t>
      </w:r>
      <w:r>
        <w:rPr>
          <w:rFonts w:ascii="楷体" w:hAnsi="楷体"/>
          <w:color w:val="000000" w:themeColor="text1"/>
          <w14:textFill>
            <w14:solidFill>
              <w14:schemeClr w14:val="tx1"/>
            </w14:solidFill>
          </w14:textFill>
        </w:rPr>
        <w:t>-1.</w:t>
      </w:r>
      <w:r>
        <w:rPr>
          <w:rFonts w:hint="eastAsia" w:ascii="楷体" w:hAnsi="楷体"/>
          <w:color w:val="000000" w:themeColor="text1"/>
          <w14:textFill>
            <w14:solidFill>
              <w14:schemeClr w14:val="tx1"/>
            </w14:solidFill>
          </w14:textFill>
        </w:rPr>
        <w:t>50</w:t>
      </w:r>
      <w:r>
        <w:rPr>
          <w:rFonts w:ascii="楷体" w:hAnsi="楷体"/>
          <w:color w:val="000000" w:themeColor="text1"/>
          <w14:textFill>
            <w14:solidFill>
              <w14:schemeClr w14:val="tx1"/>
            </w14:solidFill>
          </w14:textFill>
        </w:rPr>
        <w:t>元/斤，南方籼油糠主流价格1.40</w:t>
      </w:r>
      <w:r>
        <w:rPr>
          <w:rFonts w:hint="eastAsia" w:ascii="楷体" w:hAnsi="楷体"/>
          <w:color w:val="000000" w:themeColor="text1"/>
          <w14:textFill>
            <w14:solidFill>
              <w14:schemeClr w14:val="tx1"/>
            </w14:solidFill>
          </w14:textFill>
        </w:rPr>
        <w:t>-1.</w:t>
      </w:r>
      <w:r>
        <w:rPr>
          <w:rFonts w:ascii="楷体" w:hAnsi="楷体"/>
          <w:color w:val="000000" w:themeColor="text1"/>
          <w14:textFill>
            <w14:solidFill>
              <w14:schemeClr w14:val="tx1"/>
            </w14:solidFill>
          </w14:textFill>
        </w:rPr>
        <w:t>55元/斤。</w:t>
      </w:r>
      <w:r>
        <w:rPr>
          <w:rFonts w:hint="eastAsia" w:ascii="楷体" w:hAnsi="楷体"/>
          <w:color w:val="000000" w:themeColor="text1"/>
          <w14:textFill>
            <w14:solidFill>
              <w14:schemeClr w14:val="tx1"/>
            </w14:solidFill>
          </w14:textFill>
        </w:rPr>
        <w:t>北方毛碎主流价格1.</w:t>
      </w:r>
      <w:r>
        <w:rPr>
          <w:rFonts w:ascii="楷体" w:hAnsi="楷体"/>
          <w:color w:val="000000" w:themeColor="text1"/>
          <w14:textFill>
            <w14:solidFill>
              <w14:schemeClr w14:val="tx1"/>
            </w14:solidFill>
          </w14:textFill>
        </w:rPr>
        <w:t>30</w:t>
      </w:r>
      <w:r>
        <w:rPr>
          <w:rFonts w:hint="eastAsia" w:ascii="楷体" w:hAnsi="楷体"/>
          <w:color w:val="000000" w:themeColor="text1"/>
          <w14:textFill>
            <w14:solidFill>
              <w14:schemeClr w14:val="tx1"/>
            </w14:solidFill>
          </w14:textFill>
        </w:rPr>
        <w:t>-1.40元/斤，南方</w:t>
      </w:r>
      <w:r>
        <w:rPr>
          <w:rFonts w:ascii="楷体" w:hAnsi="楷体"/>
          <w:color w:val="000000" w:themeColor="text1"/>
          <w14:textFill>
            <w14:solidFill>
              <w14:schemeClr w14:val="tx1"/>
            </w14:solidFill>
          </w14:textFill>
        </w:rPr>
        <w:t>毛碎主流价格1.35-1.</w:t>
      </w:r>
      <w:r>
        <w:rPr>
          <w:rFonts w:hint="eastAsia" w:ascii="楷体" w:hAnsi="楷体"/>
          <w:color w:val="000000" w:themeColor="text1"/>
          <w14:textFill>
            <w14:solidFill>
              <w14:schemeClr w14:val="tx1"/>
            </w14:solidFill>
          </w14:textFill>
        </w:rPr>
        <w:t xml:space="preserve"> </w:t>
      </w:r>
      <w:r>
        <w:rPr>
          <w:rFonts w:ascii="楷体" w:hAnsi="楷体"/>
          <w:color w:val="000000" w:themeColor="text1"/>
          <w14:textFill>
            <w14:solidFill>
              <w14:schemeClr w14:val="tx1"/>
            </w14:solidFill>
          </w14:textFill>
        </w:rPr>
        <w:t>45元/斤</w:t>
      </w:r>
      <w:r>
        <w:rPr>
          <w:rFonts w:hint="eastAsia" w:ascii="楷体" w:hAnsi="楷体"/>
          <w:color w:val="000000" w:themeColor="text1"/>
          <w14:textFill>
            <w14:solidFill>
              <w14:schemeClr w14:val="tx1"/>
            </w14:solidFill>
          </w14:textFill>
        </w:rPr>
        <w:t>。</w:t>
      </w:r>
    </w:p>
    <w:p>
      <w:pPr>
        <w:pStyle w:val="5"/>
        <w:ind w:left="240" w:right="240"/>
      </w:pPr>
      <w:bookmarkStart w:id="33" w:name="_Toc91769627"/>
      <w:r>
        <w:rPr>
          <w:rFonts w:hint="eastAsia"/>
        </w:rPr>
        <w:t>3.2  相关产品情况回顾</w:t>
      </w:r>
      <w:bookmarkEnd w:id="33"/>
    </w:p>
    <w:p>
      <w:pPr>
        <w:pStyle w:val="7"/>
        <w:ind w:left="240" w:right="240"/>
        <w:rPr>
          <w:rFonts w:ascii="楷体" w:hAnsi="楷体" w:eastAsia="楷体"/>
          <w:color w:val="023985"/>
        </w:rPr>
      </w:pPr>
      <w:r>
        <w:rPr>
          <w:rFonts w:hint="eastAsia" w:ascii="楷体" w:hAnsi="楷体" w:eastAsia="楷体"/>
          <w:color w:val="023985"/>
        </w:rPr>
        <w:t>图2  小麦主产区市场价格</w:t>
      </w:r>
    </w:p>
    <w:p>
      <w:pPr>
        <w:ind w:left="240" w:right="24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408930" cy="2872740"/>
            <wp:effectExtent l="0" t="0" r="1270" b="3810"/>
            <wp:docPr id="2" name="图片 2" descr="C:\Users\Administrator\Desktop\小麦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小麦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8930" cy="2872740"/>
                    </a:xfrm>
                    <a:prstGeom prst="rect">
                      <a:avLst/>
                    </a:prstGeom>
                    <a:noFill/>
                    <a:ln>
                      <a:noFill/>
                    </a:ln>
                  </pic:spPr>
                </pic:pic>
              </a:graphicData>
            </a:graphic>
          </wp:inline>
        </w:drawing>
      </w:r>
    </w:p>
    <w:p>
      <w:pPr>
        <w:ind w:left="240" w:right="240"/>
      </w:pPr>
      <w:bookmarkStart w:id="34" w:name="_Toc91769628"/>
      <w:r>
        <w:t>截至本周四（3 月10日）全国小麦市场均价在 3212元/吨，较上周四（3月3日）3185元/吨，上涨 27元/吨，涨幅 0.85%。</w:t>
      </w:r>
    </w:p>
    <w:p>
      <w:pPr>
        <w:ind w:left="240" w:right="240"/>
      </w:pPr>
      <w:r>
        <w:t>本周小麦价格涨跌互现，市场观望氛围浓厚。前期小麦价格涨势迅猛，制粉企业成本剧增，但面粉、副产品价格难以大幅跟涨，企业运营艰难。市场价格在出现下调后，企业价格持续跟跌，部分地区价格下跌幅度过大，门前到货车辆减少后小幅提价促收。现阶段政策小麦竞拍持续进行，竞拍成交价溢价幅度较前期有所降低，市场趋于理性。</w:t>
      </w:r>
    </w:p>
    <w:p>
      <w:pPr>
        <w:pStyle w:val="4"/>
        <w:ind w:left="240" w:right="240"/>
      </w:pPr>
      <w:r>
        <w:rPr>
          <w:rFonts w:hint="eastAsia"/>
        </w:rPr>
        <w:t>第四章 市场心态解读</w:t>
      </w:r>
      <w:bookmarkEnd w:id="34"/>
    </w:p>
    <w:p>
      <w:pPr>
        <w:ind w:left="240" w:right="240" w:firstLine="0" w:firstLineChars="0"/>
      </w:pPr>
      <w:r>
        <w:drawing>
          <wp:inline distT="0" distB="0" distL="0" distR="0">
            <wp:extent cx="2597150" cy="2443480"/>
            <wp:effectExtent l="0" t="0" r="12700" b="1397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drawing>
          <wp:inline distT="0" distB="0" distL="0" distR="0">
            <wp:extent cx="2592070" cy="2451100"/>
            <wp:effectExtent l="0" t="0" r="17780" b="2540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0" w:firstLineChars="0"/>
        <w:rPr>
          <w:rFonts w:ascii="楷体" w:hAnsi="楷体"/>
          <w:color w:val="000000" w:themeColor="text1"/>
          <w14:textFill>
            <w14:solidFill>
              <w14:schemeClr w14:val="tx1"/>
            </w14:solidFill>
          </w14:textFill>
        </w:rPr>
      </w:pPr>
      <w:r>
        <w:rPr>
          <w:rFonts w:hint="eastAsia" w:ascii="楷体" w:hAnsi="楷体"/>
          <w:color w:val="000000" w:themeColor="text1"/>
          <w14:textFill>
            <w14:solidFill>
              <w14:schemeClr w14:val="tx1"/>
            </w14:solidFill>
          </w14:textFill>
        </w:rPr>
        <w:t>样本数量：贸易商10，米厂10。</w:t>
      </w:r>
    </w:p>
    <w:p>
      <w:pPr>
        <w:pStyle w:val="4"/>
      </w:pPr>
      <w:bookmarkStart w:id="35" w:name="_Toc91769629"/>
      <w:r>
        <w:rPr>
          <w:rFonts w:hint="eastAsia"/>
        </w:rPr>
        <w:t>第五章 稻米后市价格影响因素分析</w:t>
      </w:r>
      <w:bookmarkEnd w:id="35"/>
    </w:p>
    <w:p>
      <w:pPr>
        <w:ind w:firstLine="482"/>
        <w:jc w:val="center"/>
        <w:rPr>
          <w:rFonts w:ascii="楷体" w:hAnsi="楷体"/>
          <w:b/>
          <w:color w:val="023985"/>
        </w:rPr>
      </w:pPr>
      <w:r>
        <w:rPr>
          <w:rFonts w:hint="eastAsia" w:ascii="楷体" w:hAnsi="楷体"/>
          <w:b/>
          <w:color w:val="023985"/>
        </w:rPr>
        <w:t>图3  稻米后市价格影响因素分析</w:t>
      </w:r>
    </w:p>
    <w:p>
      <w:pPr>
        <w:ind w:firstLine="0" w:firstLineChars="0"/>
        <w:jc w:val="center"/>
      </w:pPr>
      <w:r>
        <w:drawing>
          <wp:inline distT="0" distB="0" distL="0" distR="0">
            <wp:extent cx="4518025" cy="2736850"/>
            <wp:effectExtent l="0" t="0" r="15875" b="2540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6" w:hRule="atLeast"/>
        </w:trPr>
        <w:tc>
          <w:tcPr>
            <w:tcW w:w="8306" w:type="dxa"/>
            <w:tcBorders>
              <w:top w:val="single" w:color="auto" w:sz="4" w:space="0"/>
              <w:left w:val="single" w:color="auto" w:sz="4" w:space="0"/>
              <w:bottom w:val="single" w:color="auto" w:sz="4" w:space="0"/>
              <w:right w:val="single" w:color="auto" w:sz="4" w:space="0"/>
            </w:tcBorders>
          </w:tcPr>
          <w:p>
            <w:pPr>
              <w:ind w:firstLine="0" w:firstLineChars="0"/>
              <w:jc w:val="center"/>
              <w:rPr>
                <w:b/>
                <w:bCs/>
              </w:rPr>
            </w:pPr>
            <w:bookmarkStart w:id="36" w:name="_Toc91769630"/>
            <w:r>
              <w:rPr>
                <w:rFonts w:hint="eastAsia"/>
                <w:b/>
                <w:bCs/>
              </w:rPr>
              <w:t>影响因素分析：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9" w:hRule="atLeast"/>
        </w:trPr>
        <w:tc>
          <w:tcPr>
            <w:tcW w:w="8306" w:type="dxa"/>
            <w:tcBorders>
              <w:top w:val="single" w:color="auto" w:sz="4" w:space="0"/>
              <w:left w:val="single" w:color="auto" w:sz="4" w:space="0"/>
              <w:bottom w:val="single" w:color="auto" w:sz="4" w:space="0"/>
              <w:right w:val="single" w:color="auto" w:sz="4" w:space="0"/>
            </w:tcBorders>
          </w:tcPr>
          <w:p>
            <w:pPr>
              <w:ind w:firstLine="482"/>
            </w:pPr>
            <w:r>
              <w:rPr>
                <w:rFonts w:hint="eastAsia"/>
                <w:b/>
                <w:bCs/>
              </w:rPr>
              <w:t>开工</w:t>
            </w:r>
            <w:r>
              <w:rPr>
                <w:b/>
                <w:bCs/>
              </w:rPr>
              <w:t>：</w:t>
            </w:r>
            <w:r>
              <w:t>米企</w:t>
            </w:r>
            <w:r>
              <w:rPr>
                <w:rFonts w:hint="eastAsia"/>
              </w:rPr>
              <w:t xml:space="preserve">开工率低位，明显利空； </w:t>
            </w:r>
            <w:r>
              <w:t xml:space="preserve">   </w:t>
            </w:r>
            <w:r>
              <w:rPr>
                <w:rFonts w:hint="eastAsia"/>
                <w:b/>
                <w:bCs/>
              </w:rPr>
              <w:t>产量：</w:t>
            </w:r>
            <w:r>
              <w:rPr>
                <w:rFonts w:hint="eastAsia"/>
              </w:rPr>
              <w:t>产量降低，利好后市</w:t>
            </w:r>
          </w:p>
          <w:p>
            <w:pPr>
              <w:ind w:firstLine="482"/>
            </w:pPr>
            <w:r>
              <w:rPr>
                <w:b/>
                <w:bCs/>
              </w:rPr>
              <w:t>库存：</w:t>
            </w:r>
            <w:r>
              <w:rPr>
                <w:rFonts w:hint="eastAsia"/>
              </w:rPr>
              <w:t xml:space="preserve">库存水平尚可，弱势利好 ；     </w:t>
            </w:r>
            <w:r>
              <w:rPr>
                <w:b/>
                <w:bCs/>
              </w:rPr>
              <w:t>需求：</w:t>
            </w:r>
            <w:r>
              <w:t>大米走货缓慢</w:t>
            </w:r>
            <w:r>
              <w:rPr>
                <w:rFonts w:hint="eastAsia"/>
              </w:rPr>
              <w:t>，需求低迷</w:t>
            </w:r>
          </w:p>
          <w:p>
            <w:pPr>
              <w:ind w:firstLine="482"/>
            </w:pPr>
            <w:r>
              <w:rPr>
                <w:rFonts w:hint="eastAsia"/>
                <w:b/>
                <w:bCs/>
              </w:rPr>
              <w:t>成本</w:t>
            </w:r>
            <w:r>
              <w:rPr>
                <w:b/>
                <w:bCs/>
              </w:rPr>
              <w:t>：</w:t>
            </w:r>
            <w:r>
              <w:rPr>
                <w:rFonts w:hint="eastAsia"/>
              </w:rPr>
              <w:t xml:space="preserve">成本高企，利润降低               </w:t>
            </w:r>
            <w:r>
              <w:t xml:space="preserve">   </w:t>
            </w:r>
            <w:r>
              <w:rPr>
                <w:rFonts w:hint="eastAsia"/>
                <w:b/>
                <w:bCs/>
              </w:rPr>
              <w:t>出口：</w:t>
            </w:r>
            <w:r>
              <w:rPr>
                <w:rFonts w:hint="eastAsia"/>
              </w:rPr>
              <w:t>出口订单稳定</w:t>
            </w:r>
          </w:p>
          <w:p>
            <w:pPr>
              <w:ind w:firstLine="482"/>
            </w:pPr>
            <w:r>
              <w:rPr>
                <w:rFonts w:hint="eastAsia"/>
                <w:b/>
                <w:bCs/>
              </w:rPr>
              <w:t>总结：</w:t>
            </w:r>
            <w:r>
              <w:rPr>
                <w:rFonts w:hint="eastAsia"/>
              </w:rPr>
              <w:t>市场库存高企，购销清淡，米企订单较少，开机率较低，价格弱势稳定为主。</w:t>
            </w:r>
          </w:p>
          <w:tbl>
            <w:tblPr>
              <w:tblStyle w:val="25"/>
              <w:tblW w:w="5000" w:type="pct"/>
              <w:jc w:val="center"/>
              <w:tblLayout w:type="autofit"/>
              <w:tblCellMar>
                <w:top w:w="15" w:type="dxa"/>
                <w:left w:w="108" w:type="dxa"/>
                <w:bottom w:w="0" w:type="dxa"/>
                <w:right w:w="108" w:type="dxa"/>
              </w:tblCellMar>
            </w:tblPr>
            <w:tblGrid>
              <w:gridCol w:w="492"/>
              <w:gridCol w:w="3207"/>
              <w:gridCol w:w="882"/>
              <w:gridCol w:w="3208"/>
              <w:gridCol w:w="301"/>
            </w:tblGrid>
            <w:tr>
              <w:tblPrEx>
                <w:tblCellMar>
                  <w:top w:w="15" w:type="dxa"/>
                  <w:left w:w="108" w:type="dxa"/>
                  <w:bottom w:w="0" w:type="dxa"/>
                  <w:right w:w="108" w:type="dxa"/>
                </w:tblCellMar>
              </w:tblPrEx>
              <w:trPr>
                <w:gridAfter w:val="1"/>
                <w:wAfter w:w="186" w:type="pct"/>
                <w:trHeight w:val="280" w:hRule="atLeast"/>
                <w:jc w:val="center"/>
              </w:trPr>
              <w:tc>
                <w:tcPr>
                  <w:tcW w:w="4814"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2"/>
                    </w:rPr>
                  </w:pPr>
                  <w:r>
                    <w:rPr>
                      <w:rFonts w:hint="eastAsia" w:ascii="宋体" w:hAnsi="宋体" w:cs="宋体"/>
                      <w:b/>
                      <w:bCs/>
                      <w:color w:val="000000"/>
                      <w:kern w:val="0"/>
                      <w:sz w:val="22"/>
                    </w:rPr>
                    <w:t>影响因素及影响力值说明</w:t>
                  </w:r>
                </w:p>
              </w:tc>
            </w:tr>
            <w:tr>
              <w:tblPrEx>
                <w:tblCellMar>
                  <w:top w:w="15" w:type="dxa"/>
                  <w:left w:w="108" w:type="dxa"/>
                  <w:bottom w:w="0" w:type="dxa"/>
                  <w:right w:w="108" w:type="dxa"/>
                </w:tblCellMar>
              </w:tblPrEx>
              <w:trPr>
                <w:gridAfter w:val="1"/>
                <w:wAfter w:w="186" w:type="pct"/>
                <w:trHeight w:val="280" w:hRule="atLeast"/>
                <w:jc w:val="center"/>
              </w:trPr>
              <w:tc>
                <w:tcPr>
                  <w:tcW w:w="304" w:type="pct"/>
                  <w:tcBorders>
                    <w:top w:val="nil"/>
                    <w:left w:val="single" w:color="auto" w:sz="4" w:space="0"/>
                    <w:bottom w:val="single" w:color="auto" w:sz="4" w:space="0"/>
                    <w:right w:val="single" w:color="auto" w:sz="4" w:space="0"/>
                  </w:tcBorders>
                  <w:shd w:val="clear" w:color="000000" w:fill="F8CBAD"/>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5</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重大利好</w:t>
                  </w:r>
                </w:p>
              </w:tc>
              <w:tc>
                <w:tcPr>
                  <w:tcW w:w="545" w:type="pct"/>
                  <w:tcBorders>
                    <w:top w:val="nil"/>
                    <w:left w:val="nil"/>
                    <w:bottom w:val="single" w:color="auto" w:sz="4" w:space="0"/>
                    <w:right w:val="single" w:color="auto" w:sz="4" w:space="0"/>
                  </w:tcBorders>
                  <w:shd w:val="clear" w:color="000000" w:fill="D9D9D9"/>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-5</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重大利空</w:t>
                  </w:r>
                </w:p>
              </w:tc>
            </w:tr>
            <w:tr>
              <w:tblPrEx>
                <w:tblCellMar>
                  <w:top w:w="15" w:type="dxa"/>
                  <w:left w:w="108" w:type="dxa"/>
                  <w:bottom w:w="0" w:type="dxa"/>
                  <w:right w:w="108" w:type="dxa"/>
                </w:tblCellMar>
              </w:tblPrEx>
              <w:trPr>
                <w:gridAfter w:val="1"/>
                <w:wAfter w:w="186" w:type="pct"/>
                <w:trHeight w:val="280" w:hRule="atLeast"/>
                <w:jc w:val="center"/>
              </w:trPr>
              <w:tc>
                <w:tcPr>
                  <w:tcW w:w="304" w:type="pct"/>
                  <w:tcBorders>
                    <w:top w:val="nil"/>
                    <w:left w:val="single" w:color="auto" w:sz="4" w:space="0"/>
                    <w:bottom w:val="single" w:color="auto" w:sz="4" w:space="0"/>
                    <w:right w:val="single" w:color="auto" w:sz="4" w:space="0"/>
                  </w:tcBorders>
                  <w:shd w:val="clear" w:color="000000" w:fill="F8CBAD"/>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4</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明显利好</w:t>
                  </w:r>
                </w:p>
              </w:tc>
              <w:tc>
                <w:tcPr>
                  <w:tcW w:w="545" w:type="pct"/>
                  <w:tcBorders>
                    <w:top w:val="nil"/>
                    <w:left w:val="nil"/>
                    <w:bottom w:val="single" w:color="auto" w:sz="4" w:space="0"/>
                    <w:right w:val="single" w:color="auto" w:sz="4" w:space="0"/>
                  </w:tcBorders>
                  <w:shd w:val="clear" w:color="000000" w:fill="D9D9D9"/>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-4</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明显利空</w:t>
                  </w:r>
                </w:p>
              </w:tc>
            </w:tr>
            <w:tr>
              <w:tblPrEx>
                <w:tblCellMar>
                  <w:top w:w="15" w:type="dxa"/>
                  <w:left w:w="108" w:type="dxa"/>
                  <w:bottom w:w="0" w:type="dxa"/>
                  <w:right w:w="108" w:type="dxa"/>
                </w:tblCellMar>
              </w:tblPrEx>
              <w:trPr>
                <w:gridAfter w:val="1"/>
                <w:wAfter w:w="186" w:type="pct"/>
                <w:trHeight w:val="280" w:hRule="atLeast"/>
                <w:jc w:val="center"/>
              </w:trPr>
              <w:tc>
                <w:tcPr>
                  <w:tcW w:w="304" w:type="pct"/>
                  <w:tcBorders>
                    <w:top w:val="nil"/>
                    <w:left w:val="single" w:color="auto" w:sz="4" w:space="0"/>
                    <w:bottom w:val="single" w:color="auto" w:sz="4" w:space="0"/>
                    <w:right w:val="single" w:color="auto" w:sz="4" w:space="0"/>
                  </w:tcBorders>
                  <w:shd w:val="clear" w:color="000000" w:fill="F8CBAD"/>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3</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一般利好</w:t>
                  </w:r>
                </w:p>
              </w:tc>
              <w:tc>
                <w:tcPr>
                  <w:tcW w:w="545" w:type="pct"/>
                  <w:tcBorders>
                    <w:top w:val="nil"/>
                    <w:left w:val="nil"/>
                    <w:bottom w:val="single" w:color="auto" w:sz="4" w:space="0"/>
                    <w:right w:val="single" w:color="auto" w:sz="4" w:space="0"/>
                  </w:tcBorders>
                  <w:shd w:val="clear" w:color="000000" w:fill="D9D9D9"/>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-3</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一般利空</w:t>
                  </w:r>
                </w:p>
              </w:tc>
            </w:tr>
            <w:tr>
              <w:tblPrEx>
                <w:tblCellMar>
                  <w:top w:w="15" w:type="dxa"/>
                  <w:left w:w="108" w:type="dxa"/>
                  <w:bottom w:w="0" w:type="dxa"/>
                  <w:right w:w="108" w:type="dxa"/>
                </w:tblCellMar>
              </w:tblPrEx>
              <w:trPr>
                <w:gridAfter w:val="1"/>
                <w:wAfter w:w="186" w:type="pct"/>
                <w:trHeight w:val="280" w:hRule="atLeast"/>
                <w:jc w:val="center"/>
              </w:trPr>
              <w:tc>
                <w:tcPr>
                  <w:tcW w:w="304" w:type="pct"/>
                  <w:tcBorders>
                    <w:top w:val="nil"/>
                    <w:left w:val="single" w:color="auto" w:sz="4" w:space="0"/>
                    <w:bottom w:val="single" w:color="auto" w:sz="4" w:space="0"/>
                    <w:right w:val="single" w:color="auto" w:sz="4" w:space="0"/>
                  </w:tcBorders>
                  <w:shd w:val="clear" w:color="000000" w:fill="F8CBAD"/>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2</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小幅利好</w:t>
                  </w:r>
                </w:p>
              </w:tc>
              <w:tc>
                <w:tcPr>
                  <w:tcW w:w="545" w:type="pct"/>
                  <w:tcBorders>
                    <w:top w:val="nil"/>
                    <w:left w:val="nil"/>
                    <w:bottom w:val="single" w:color="auto" w:sz="4" w:space="0"/>
                    <w:right w:val="single" w:color="auto" w:sz="4" w:space="0"/>
                  </w:tcBorders>
                  <w:shd w:val="clear" w:color="000000" w:fill="D9D9D9"/>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-2</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小幅利空</w:t>
                  </w:r>
                </w:p>
              </w:tc>
            </w:tr>
            <w:tr>
              <w:tblPrEx>
                <w:tblCellMar>
                  <w:top w:w="15" w:type="dxa"/>
                  <w:left w:w="108" w:type="dxa"/>
                  <w:bottom w:w="0" w:type="dxa"/>
                  <w:right w:w="108" w:type="dxa"/>
                </w:tblCellMar>
              </w:tblPrEx>
              <w:trPr>
                <w:gridAfter w:val="1"/>
                <w:wAfter w:w="186" w:type="pct"/>
                <w:trHeight w:val="280" w:hRule="atLeast"/>
                <w:jc w:val="center"/>
              </w:trPr>
              <w:tc>
                <w:tcPr>
                  <w:tcW w:w="304" w:type="pct"/>
                  <w:tcBorders>
                    <w:top w:val="nil"/>
                    <w:left w:val="single" w:color="auto" w:sz="4" w:space="0"/>
                    <w:bottom w:val="single" w:color="auto" w:sz="4" w:space="0"/>
                    <w:right w:val="single" w:color="auto" w:sz="4" w:space="0"/>
                  </w:tcBorders>
                  <w:shd w:val="clear" w:color="000000" w:fill="F8CBAD"/>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1</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弱势利好</w:t>
                  </w:r>
                </w:p>
              </w:tc>
              <w:tc>
                <w:tcPr>
                  <w:tcW w:w="545" w:type="pct"/>
                  <w:tcBorders>
                    <w:top w:val="nil"/>
                    <w:left w:val="nil"/>
                    <w:bottom w:val="single" w:color="auto" w:sz="4" w:space="0"/>
                    <w:right w:val="single" w:color="auto" w:sz="4" w:space="0"/>
                  </w:tcBorders>
                  <w:shd w:val="clear" w:color="000000" w:fill="D9D9D9"/>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-1</w:t>
                  </w:r>
                </w:p>
              </w:tc>
              <w:tc>
                <w:tcPr>
                  <w:tcW w:w="19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弱势利空</w:t>
                  </w:r>
                </w:p>
              </w:tc>
            </w:tr>
            <w:tr>
              <w:tblPrEx>
                <w:tblCellMar>
                  <w:top w:w="15" w:type="dxa"/>
                  <w:left w:w="108" w:type="dxa"/>
                  <w:bottom w:w="0" w:type="dxa"/>
                  <w:right w:w="108" w:type="dxa"/>
                </w:tblCellMar>
              </w:tblPrEx>
              <w:trPr>
                <w:gridAfter w:val="1"/>
                <w:wAfter w:w="186" w:type="pct"/>
                <w:trHeight w:val="405" w:hRule="atLeast"/>
                <w:jc w:val="center"/>
              </w:trPr>
              <w:tc>
                <w:tcPr>
                  <w:tcW w:w="4814"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ascii="楷体" w:hAnsi="楷体" w:cs="宋体"/>
                      <w:i/>
                      <w:iCs/>
                      <w:color w:val="000000"/>
                      <w:kern w:val="0"/>
                      <w:sz w:val="22"/>
                    </w:rPr>
                  </w:pPr>
                  <w:r>
                    <w:rPr>
                      <w:rFonts w:hint="eastAsia" w:ascii="楷体" w:hAnsi="楷体" w:cs="宋体"/>
                      <w:i/>
                      <w:iCs/>
                      <w:color w:val="000000"/>
                      <w:kern w:val="0"/>
                      <w:sz w:val="22"/>
                    </w:rPr>
                    <w:t>注：以对价格的影响力确定利好利空因素，该因素的影响力指标是通过与市场人士充分沟通后结合市场客观情况进行的综合数值判定。</w:t>
                  </w:r>
                </w:p>
              </w:tc>
            </w:tr>
            <w:tr>
              <w:tblPrEx>
                <w:tblCellMar>
                  <w:top w:w="15" w:type="dxa"/>
                  <w:left w:w="108" w:type="dxa"/>
                  <w:bottom w:w="0" w:type="dxa"/>
                  <w:right w:w="108" w:type="dxa"/>
                </w:tblCellMar>
              </w:tblPrEx>
              <w:trPr>
                <w:trHeight w:val="280" w:hRule="atLeast"/>
                <w:jc w:val="center"/>
              </w:trPr>
              <w:tc>
                <w:tcPr>
                  <w:tcW w:w="4814"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楷体" w:hAnsi="楷体" w:cs="宋体"/>
                      <w:i/>
                      <w:iCs/>
                      <w:color w:val="000000"/>
                      <w:kern w:val="0"/>
                      <w:sz w:val="22"/>
                    </w:rPr>
                  </w:pPr>
                </w:p>
              </w:tc>
              <w:tc>
                <w:tcPr>
                  <w:tcW w:w="186" w:type="pct"/>
                  <w:tcBorders>
                    <w:top w:val="nil"/>
                    <w:left w:val="nil"/>
                    <w:bottom w:val="nil"/>
                    <w:right w:val="nil"/>
                  </w:tcBorders>
                  <w:shd w:val="clear" w:color="auto" w:fill="auto"/>
                  <w:noWrap/>
                  <w:vAlign w:val="bottom"/>
                </w:tcPr>
                <w:p>
                  <w:pPr>
                    <w:widowControl/>
                    <w:spacing w:line="240" w:lineRule="auto"/>
                    <w:ind w:firstLine="0" w:firstLineChars="0"/>
                    <w:rPr>
                      <w:rFonts w:ascii="楷体" w:hAnsi="楷体" w:cs="宋体"/>
                      <w:i/>
                      <w:iCs/>
                      <w:color w:val="000000"/>
                      <w:kern w:val="0"/>
                      <w:sz w:val="22"/>
                    </w:rPr>
                  </w:pPr>
                </w:p>
              </w:tc>
            </w:tr>
            <w:tr>
              <w:tblPrEx>
                <w:tblCellMar>
                  <w:top w:w="15" w:type="dxa"/>
                  <w:left w:w="108" w:type="dxa"/>
                  <w:bottom w:w="0" w:type="dxa"/>
                  <w:right w:w="108" w:type="dxa"/>
                </w:tblCellMar>
              </w:tblPrEx>
              <w:trPr>
                <w:trHeight w:val="280" w:hRule="atLeast"/>
                <w:jc w:val="center"/>
              </w:trPr>
              <w:tc>
                <w:tcPr>
                  <w:tcW w:w="4814"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楷体" w:hAnsi="楷体" w:cs="宋体"/>
                      <w:i/>
                      <w:iCs/>
                      <w:color w:val="000000"/>
                      <w:kern w:val="0"/>
                      <w:sz w:val="22"/>
                    </w:rPr>
                  </w:pPr>
                </w:p>
              </w:tc>
              <w:tc>
                <w:tcPr>
                  <w:tcW w:w="186" w:type="pct"/>
                  <w:tcBorders>
                    <w:top w:val="nil"/>
                    <w:left w:val="nil"/>
                    <w:bottom w:val="nil"/>
                    <w:right w:val="nil"/>
                  </w:tcBorders>
                  <w:shd w:val="clear" w:color="auto" w:fill="auto"/>
                  <w:noWrap/>
                  <w:vAlign w:val="bottom"/>
                </w:tcPr>
                <w:p>
                  <w:pPr>
                    <w:widowControl/>
                    <w:spacing w:line="240" w:lineRule="auto"/>
                    <w:ind w:firstLine="0" w:firstLineChars="0"/>
                    <w:rPr>
                      <w:rFonts w:eastAsia="Times New Roman" w:cs="Times New Roman"/>
                      <w:kern w:val="0"/>
                      <w:sz w:val="20"/>
                      <w:szCs w:val="20"/>
                    </w:rPr>
                  </w:pPr>
                </w:p>
              </w:tc>
            </w:tr>
          </w:tbl>
          <w:p/>
        </w:tc>
      </w:tr>
    </w:tbl>
    <w:p>
      <w:pPr>
        <w:pStyle w:val="4"/>
      </w:pPr>
      <w:r>
        <w:rPr>
          <w:rFonts w:hint="eastAsia"/>
        </w:rPr>
        <w:t>第六章 稻米市场走势分析预测</w:t>
      </w:r>
      <w:bookmarkEnd w:id="36"/>
    </w:p>
    <w:p>
      <w:pPr>
        <w:ind w:firstLine="0" w:firstLineChars="0"/>
        <w:rPr>
          <w:rFonts w:ascii="楷体" w:hAnsi="楷体"/>
          <w:color w:val="000000"/>
        </w:rPr>
      </w:pPr>
      <w:r>
        <w:rPr>
          <w:rFonts w:hint="eastAsia"/>
          <w:color w:val="000000"/>
        </w:rPr>
        <w:t xml:space="preserve">       春耕在即，农户售粮进度将继续加快，市场整体不缺粮，</w:t>
      </w:r>
      <w:r>
        <w:rPr>
          <w:rFonts w:ascii="楷体" w:hAnsi="楷体"/>
          <w:color w:val="000000"/>
        </w:rPr>
        <w:t>下游大米走量短期仍无利好支撑</w:t>
      </w:r>
      <w:r>
        <w:rPr>
          <w:rFonts w:hint="eastAsia" w:ascii="楷体" w:hAnsi="楷体"/>
          <w:color w:val="000000"/>
        </w:rPr>
        <w:t>，</w:t>
      </w:r>
      <w:r>
        <w:rPr>
          <w:rFonts w:ascii="楷体" w:hAnsi="楷体"/>
          <w:color w:val="000000"/>
        </w:rPr>
        <w:t>需求继续低迷</w:t>
      </w:r>
      <w:r>
        <w:rPr>
          <w:rFonts w:hint="eastAsia" w:ascii="楷体" w:hAnsi="楷体"/>
          <w:color w:val="000000"/>
        </w:rPr>
        <w:t>；部分贸易商为腾库回笼资金收购小麦，将积极抛售，届时稻米价格仍有下调的风险；继续关注定向粮流向和下周的国储拍卖情况。</w:t>
      </w:r>
    </w:p>
    <w:p>
      <w:pPr>
        <w:ind w:firstLine="0" w:firstLineChars="0"/>
        <w:rPr>
          <w:rFonts w:hint="eastAsia" w:ascii="楷体" w:hAnsi="楷体"/>
          <w:color w:val="000000"/>
        </w:rPr>
      </w:pPr>
    </w:p>
    <w:p>
      <w:pPr>
        <w:ind w:firstLine="0" w:firstLineChars="0"/>
        <w:rPr>
          <w:rFonts w:ascii="微软雅黑" w:hAnsi="微软雅黑" w:eastAsia="微软雅黑"/>
          <w:color w:val="333333"/>
          <w:shd w:val="clear" w:color="auto" w:fill="FFFFFF"/>
        </w:rPr>
      </w:pPr>
      <w:r>
        <w:rPr>
          <w:rFonts w:hint="eastAsia" w:ascii="微软雅黑" w:hAnsi="微软雅黑" w:eastAsia="微软雅黑"/>
          <w:color w:val="333333"/>
          <w:shd w:val="clear" w:color="auto" w:fill="FFFFFF"/>
        </w:rPr>
        <w:t>资讯编辑： 陈丽君    0533-7026579</w:t>
      </w:r>
    </w:p>
    <w:p>
      <w:pPr>
        <w:ind w:firstLine="0" w:firstLineChars="0"/>
        <w:rPr>
          <w:rFonts w:ascii="微软雅黑" w:hAnsi="微软雅黑" w:eastAsia="微软雅黑"/>
          <w:color w:val="333333"/>
          <w:shd w:val="clear" w:color="auto" w:fill="FFFFFF"/>
        </w:rPr>
      </w:pPr>
      <w:r>
        <w:rPr>
          <w:rFonts w:ascii="微软雅黑" w:hAnsi="微软雅黑" w:eastAsia="微软雅黑"/>
          <w:color w:val="333333"/>
          <w:shd w:val="clear" w:color="auto" w:fill="FFFFFF"/>
        </w:rPr>
        <w:t xml:space="preserve">               </w:t>
      </w:r>
      <w:r>
        <w:rPr>
          <w:rFonts w:hint="eastAsia" w:ascii="微软雅黑" w:hAnsi="微软雅黑" w:eastAsia="微软雅黑"/>
          <w:color w:val="333333"/>
          <w:shd w:val="clear" w:color="auto" w:fill="FFFFFF"/>
        </w:rPr>
        <w:t xml:space="preserve">   岳</w:t>
      </w:r>
      <w:r>
        <w:rPr>
          <w:rFonts w:ascii="微软雅黑" w:hAnsi="微软雅黑" w:eastAsia="微软雅黑"/>
          <w:color w:val="333333"/>
          <w:shd w:val="clear" w:color="auto" w:fill="FFFFFF"/>
        </w:rPr>
        <w:t>姝帆</w:t>
      </w:r>
      <w:r>
        <w:rPr>
          <w:rFonts w:hint="eastAsia" w:ascii="微软雅黑" w:hAnsi="微软雅黑" w:eastAsia="微软雅黑"/>
          <w:color w:val="333333"/>
          <w:shd w:val="clear" w:color="auto" w:fill="FFFFFF"/>
        </w:rPr>
        <w:t xml:space="preserve">    0533-7027156</w:t>
      </w:r>
    </w:p>
    <w:p>
      <w:pPr>
        <w:ind w:firstLine="0" w:firstLineChars="0"/>
        <w:rPr>
          <w:szCs w:val="24"/>
        </w:rPr>
      </w:pPr>
      <w:r>
        <w:rPr>
          <w:rFonts w:hint="eastAsia" w:ascii="微软雅黑" w:hAnsi="微软雅黑" w:eastAsia="微软雅黑"/>
          <w:color w:val="333333"/>
          <w:shd w:val="clear" w:color="auto" w:fill="FFFFFF"/>
        </w:rPr>
        <w:t xml:space="preserve">资讯监督：王涛 </w:t>
      </w:r>
      <w:r>
        <w:rPr>
          <w:rFonts w:ascii="微软雅黑" w:hAnsi="微软雅黑" w:eastAsia="微软雅黑"/>
          <w:color w:val="333333"/>
          <w:shd w:val="clear" w:color="auto" w:fill="FFFFFF"/>
        </w:rPr>
        <w:t xml:space="preserve">  </w:t>
      </w:r>
      <w:r>
        <w:rPr>
          <w:rFonts w:hint="eastAsia" w:ascii="微软雅黑" w:hAnsi="微软雅黑" w:eastAsia="微软雅黑"/>
          <w:color w:val="333333"/>
          <w:shd w:val="clear" w:color="auto" w:fill="FFFFFF"/>
        </w:rPr>
        <w:t xml:space="preserve"> 0533-7026866</w:t>
      </w:r>
      <w:r>
        <w:rPr>
          <w:rFonts w:hint="eastAsia" w:ascii="微软雅黑" w:hAnsi="微软雅黑" w:eastAsia="微软雅黑"/>
          <w:color w:val="333333"/>
        </w:rPr>
        <w:br w:type="textWrapping"/>
      </w:r>
      <w:r>
        <w:rPr>
          <w:rFonts w:hint="eastAsia" w:ascii="微软雅黑" w:hAnsi="微软雅黑" w:eastAsia="微软雅黑"/>
          <w:color w:val="333333"/>
          <w:shd w:val="clear" w:color="auto" w:fill="FFFFFF"/>
        </w:rPr>
        <w:t xml:space="preserve">资讯投诉：陈杰 021-26093100 </w:t>
      </w:r>
    </w:p>
    <w:sectPr>
      <w:footerReference r:id="rId12" w:type="default"/>
      <w:pgSz w:w="11910" w:h="16840"/>
      <w:pgMar w:top="1700" w:right="1240" w:bottom="280" w:left="1680" w:header="970" w:footer="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240" w:right="24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4808303"/>
    </w:sdtPr>
    <w:sdtContent>
      <w:p>
        <w:pPr>
          <w:pStyle w:val="16"/>
          <w:ind w:firstLine="360"/>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240" w:right="24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6183734"/>
    </w:sdtPr>
    <w:sdtContent>
      <w:p>
        <w:pPr>
          <w:pStyle w:val="16"/>
          <w:ind w:left="240" w:right="240" w:firstLine="360"/>
          <w:jc w:val="center"/>
        </w:pPr>
        <w:r>
          <w:fldChar w:fldCharType="begin"/>
        </w:r>
        <w:r>
          <w:instrText xml:space="preserve">PAGE   \* MERGEFORMAT</w:instrText>
        </w:r>
        <w:r>
          <w:fldChar w:fldCharType="separate"/>
        </w:r>
        <w:r>
          <w:rPr>
            <w:lang w:val="zh-CN"/>
          </w:rPr>
          <w:t>-</w:t>
        </w:r>
        <w:r>
          <w:t xml:space="preserve"> 7 -</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line="14" w:lineRule="auto"/>
      <w:ind w:left="240" w:right="240" w:firstLine="480"/>
      <w:rPr>
        <w:sz w:val="20"/>
      </w:rPr>
    </w:pPr>
    <w:r>
      <w:drawing>
        <wp:anchor distT="0" distB="0" distL="0" distR="0" simplePos="0" relativeHeight="251651072" behindDoc="1" locked="0" layoutInCell="1" allowOverlap="1">
          <wp:simplePos x="0" y="0"/>
          <wp:positionH relativeFrom="page">
            <wp:posOffset>1534160</wp:posOffset>
          </wp:positionH>
          <wp:positionV relativeFrom="page">
            <wp:posOffset>222250</wp:posOffset>
          </wp:positionV>
          <wp:extent cx="842645" cy="564515"/>
          <wp:effectExtent l="0" t="0" r="0" b="6985"/>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029" cy="562661"/>
                  </a:xfrm>
                  <a:prstGeom prst="rect">
                    <a:avLst/>
                  </a:prstGeom>
                </pic:spPr>
              </pic:pic>
            </a:graphicData>
          </a:graphic>
        </wp:anchor>
      </w:drawing>
    </w:r>
    <w:r>
      <mc:AlternateContent>
        <mc:Choice Requires="wpg">
          <w:drawing>
            <wp:anchor distT="0" distB="0" distL="114300" distR="114300" simplePos="0" relativeHeight="251660288" behindDoc="1" locked="0" layoutInCell="1" allowOverlap="1">
              <wp:simplePos x="0" y="0"/>
              <wp:positionH relativeFrom="page">
                <wp:posOffset>1143000</wp:posOffset>
              </wp:positionH>
              <wp:positionV relativeFrom="page">
                <wp:posOffset>817245</wp:posOffset>
              </wp:positionV>
              <wp:extent cx="5274310" cy="46355"/>
              <wp:effectExtent l="0" t="0" r="21590" b="10795"/>
              <wp:wrapNone/>
              <wp:docPr id="10" name="Group 1025"/>
              <wp:cNvGraphicFramePr/>
              <a:graphic xmlns:a="http://schemas.openxmlformats.org/drawingml/2006/main">
                <a:graphicData uri="http://schemas.microsoft.com/office/word/2010/wordprocessingGroup">
                  <wpg:wgp>
                    <wpg:cNvGrpSpPr/>
                    <wpg:grpSpPr>
                      <a:xfrm>
                        <a:off x="0" y="0"/>
                        <a:ext cx="5274310" cy="46355"/>
                        <a:chOff x="1800" y="1641"/>
                        <a:chExt cx="8306" cy="73"/>
                      </a:xfrm>
                    </wpg:grpSpPr>
                    <wps:wsp>
                      <wps:cNvPr id="13" name="Line 1026"/>
                      <wps:cNvCnPr/>
                      <wps:spPr bwMode="auto">
                        <a:xfrm>
                          <a:off x="1800" y="1648"/>
                          <a:ext cx="8306" cy="0"/>
                        </a:xfrm>
                        <a:prstGeom prst="line">
                          <a:avLst/>
                        </a:prstGeom>
                        <a:noFill/>
                        <a:ln w="9144">
                          <a:solidFill>
                            <a:srgbClr val="0F336C"/>
                          </a:solidFill>
                          <a:round/>
                        </a:ln>
                      </wps:spPr>
                      <wps:bodyPr/>
                    </wps:wsp>
                    <wps:wsp>
                      <wps:cNvPr id="17" name="Line 1027"/>
                      <wps:cNvCnPr/>
                      <wps:spPr bwMode="auto">
                        <a:xfrm>
                          <a:off x="1800" y="1677"/>
                          <a:ext cx="8306" cy="0"/>
                        </a:xfrm>
                        <a:prstGeom prst="line">
                          <a:avLst/>
                        </a:prstGeom>
                        <a:noFill/>
                        <a:ln w="27432">
                          <a:solidFill>
                            <a:srgbClr val="1A54B6"/>
                          </a:solidFill>
                          <a:round/>
                        </a:ln>
                      </wps:spPr>
                      <wps:bodyPr/>
                    </wps:wsp>
                    <wps:wsp>
                      <wps:cNvPr id="40"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w:pict>
            <v:group id="Group 1025" o:spid="_x0000_s1026" o:spt="203" style="position:absolute;left:0pt;margin-left:90pt;margin-top:64.35pt;height:3.65pt;width:415.3pt;mso-position-horizontal-relative:page;mso-position-vertical-relative:page;z-index:-251656192;mso-width-relative:page;mso-height-relative:page;" coordorigin="1800,1641" coordsize="8306,73" o:gfxdata="UEsDBAoAAAAAAIdO4kAAAAAAAAAAAAAAAAAEAAAAZHJzL1BLAwQUAAAACACHTuJAspfdNtoAAAAM&#10;AQAADwAAAGRycy9kb3ducmV2LnhtbE2PwWrDMBBE74X+g9hCb43khLrGsRxKaHsKhSaFkptibWwT&#10;a2UsxU7+vptTe5thh9k3xeriOjHiEFpPGpKZAoFUedtSreF79/6UgQjRkDWdJ9RwxQCr8v6uMLn1&#10;E33huI214BIKudHQxNjnUoaqQWfCzPdIfDv6wZnIdqilHczE5a6Tc6VS6UxL/KExPa4brE7bs9Pw&#10;MZnpdZG8jZvTcX3d754/fzYJav34kKgliIiX+BeGGz6jQ8lMB38mG0THPlO8JbKYZy8gbgmVqBTE&#10;gdUiVSDLQv4fUf4CUEsDBBQAAAAIAIdO4kAroEM1UQIAAIMHAAAOAAAAZHJzL2Uyb0RvYy54bWzV&#10;VduO2yAQfa/Uf0B+b3yNnVpxVm2yycu2XWnbDyAYXyQbEJA4+fsO+JJt+tAq3Tz0BZsZGOacMwPL&#10;h1PboCOVquYsc/yZ5yDKCM9rVmbOj+/bDwsHKY1ZjhvOaOacqXIeVu/fLTuR0oBXvMmpRBCEqbQT&#10;mVNpLVLXVaSiLVYzLigDZ8FlizVMZenmEncQvW3cwPNit+MyF5ITqhRYN73TWdn4RUGJ/lYUimrU&#10;ZA7kpu0o7bg3o7ta4rSUWFQ1GdLAN2TR4prBoVOoDdYYHWT9W6i2JpIrXugZ4a3Li6Im1GIANL53&#10;hWYn+UFYLGXalWKiCai94unmsOTr8VmiOgftgB6GW9DIHot8L5gbejpRprBqJ8WLeJaDoexnBvGp&#10;kK35AhZ0ssSeJ2LpSSMCxnmQRKE5gIAvisO5jYxTUoE6Zpe/8MALTj+O/F4UUj0OuxehF/dbk9D4&#10;3PFQ1+Q2pdIJKCF1YUn9G0svFRbUkq8M/pGlcGTpqWbUkBT3JNlFazYwpFIFZKF994XnwCg+aG7L&#10;44qs17AXPeyRsgtoW6QTZpwKqfSO8haZn8xpIA8bGx+flO7pGZcYXRjf1k0Ddpw2DHWZ89GPIrtB&#10;8abOjdP4lCz360aiIzadsg3DeD1w/csyqEiW94c0DKQwpBuopk5Uuuf52TJg7SBGb76/Ksm1Ksnb&#10;qJLYODi9vyqmQ4I/yOJ/mkefbb1BOfwHskTTlTI2iy1yUynQUbc3SwL3gS3o+8vyF80S+cnmMXiT&#10;ZrEXGtz09o4bXiXzlLye26a7vJ2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KX3TbaAAAADAEA&#10;AA8AAAAAAAAAAQAgAAAAIgAAAGRycy9kb3ducmV2LnhtbFBLAQIUABQAAAAIAIdO4kAroEM1UQIA&#10;AIMHAAAOAAAAAAAAAAEAIAAAACkBAABkcnMvZTJvRG9jLnhtbFBLBQYAAAAABgAGAFkBAADsBQAA&#10;AAA=&#10;">
              <o:lock v:ext="edit" aspectratio="f"/>
              <v:line id="Line 1026" o:spid="_x0000_s1026" o:spt="20" style="position:absolute;left:1800;top:1648;height:0;width:8306;" filled="f" stroked="t" coordsize="21600,21600" o:gfxdata="UEsDBAoAAAAAAIdO4kAAAAAAAAAAAAAAAAAEAAAAZHJzL1BLAwQUAAAACACHTuJAg1v6k70AAADb&#10;AAAADwAAAGRycy9kb3ducmV2LnhtbEWPQWsCMRCF7wX/QxjBS9FEpSKr0YMoeChCXUG8jZtxd3Ez&#10;WZK42n/fFAq9zfDe++bNcv2yjejIh9qxhvFIgSAunKm51HDKd8M5iBCRDTaOScM3BVivem9LzIx7&#10;8hd1x1iKBOGQoYYqxjaTMhQVWQwj1xIn7ea8xZhWX0rj8ZngtpETpWbSYs3pQoUtbSoq7seHTZRP&#10;n0+36nqx0WzP3Xt+OLQfpPWgP1YLEJFe8d/8l96bVH8Kv7+kA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qTvQAA&#10;ANsAAAAPAAAAAAAAAAEAIAAAACIAAABkcnMvZG93bnJldi54bWxQSwECFAAUAAAACACHTuJAMy8F&#10;njsAAAA5AAAAEAAAAAAAAAABACAAAAAMAQAAZHJzL3NoYXBleG1sLnhtbFBLBQYAAAAABgAGAFsB&#10;AAC2Aw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GGZ6jbsAAADb&#10;AAAADwAAAGRycy9kb3ducmV2LnhtbEVPS2uDQBC+F/oflinkUupqD0mxbgKVBhovIQ96nrhTlbqz&#10;4m7U/PtsIJDbfHzPyVaTacVAvWssK0iiGARxaXXDlYLjYf32AcJ5ZI2tZVJwIQer5fNThqm2I+9o&#10;2PtKhBB2KSqove9SKV1Zk0EX2Y44cH+2N+gD7CupexxDuGnlexzPpcGGQ0ONHeU1lf/7s1GQn4pT&#10;fpSu+P7a/PqG7LZ7LbZKzV6S+BOEp8k/xHf3jw7zF3D7JRw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6jbsAAADb&#10;AAAADwAAAAAAAAABACAAAAAiAAAAZHJzL2Rvd25yZXYueG1sUEsBAhQAFAAAAAgAh07iQDMvBZ47&#10;AAAAOQAAABAAAAAAAAAAAQAgAAAACgEAAGRycy9zaGFwZXhtbC54bWxQSwUGAAAAAAYABgBbAQAA&#10;tAM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zbJ6rcAAADb&#10;AAAADwAAAGRycy9kb3ducmV2LnhtbEVPvQrCMBDeBd8hnOCmqSIi1SgoVHQSqw5uZ3O2xeZSmmj1&#10;7c0gOH58/4vV21TiRY0rLSsYDSMQxJnVJecKzqdkMAPhPLLGyjIp+JCD1bLbWWCsbctHeqU+FyGE&#10;XYwKCu/rWEqXFWTQDW1NHLi7bQz6AJtc6gbbEG4qOY6iqTRYcmgosKZNQdkjfRoF0/K4bpPxbLu3&#10;KV6Ty2GXtbeJUv3eKJqD8PT2f/HPvdMKJmF9+BJ+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snqtwAAANsAAAAP&#10;AAAAAAAAAAEAIAAAACIAAABkcnMvZG93bnJldi54bWxQSwECFAAUAAAACACHTuJAMy8FnjsAAAA5&#10;AAAAEAAAAAAAAAABACAAAAAGAQAAZHJzL3NoYXBleG1sLnhtbFBLBQYAAAAABgAGAFsBAACwAwAA&#10;AAA=&#10;">
                <v:fill on="f" focussize="0,0"/>
                <v:stroke weight="0.72pt" color="#417DE2" joinstyle="round"/>
                <v:imagedata o:title=""/>
                <o:lock v:ext="edit" aspectratio="f"/>
              </v:lin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line="14" w:lineRule="auto"/>
      <w:ind w:left="240" w:right="240" w:firstLine="480"/>
      <w:rPr>
        <w:sz w:val="20"/>
      </w:rPr>
    </w:pPr>
    <w:r>
      <w:drawing>
        <wp:anchor distT="0" distB="0" distL="0" distR="0" simplePos="0" relativeHeight="251663360" behindDoc="1" locked="0" layoutInCell="1" allowOverlap="1">
          <wp:simplePos x="0" y="0"/>
          <wp:positionH relativeFrom="page">
            <wp:posOffset>1534160</wp:posOffset>
          </wp:positionH>
          <wp:positionV relativeFrom="page">
            <wp:posOffset>309880</wp:posOffset>
          </wp:positionV>
          <wp:extent cx="819150" cy="476885"/>
          <wp:effectExtent l="0" t="0" r="635"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6254" cy="475488"/>
                  </a:xfrm>
                  <a:prstGeom prst="rect">
                    <a:avLst/>
                  </a:prstGeom>
                </pic:spPr>
              </pic:pic>
            </a:graphicData>
          </a:graphic>
        </wp:anchor>
      </w:drawing>
    </w:r>
    <w:r>
      <mc:AlternateContent>
        <mc:Choice Requires="wpg">
          <w:drawing>
            <wp:anchor distT="0" distB="0" distL="114300" distR="114300" simplePos="0" relativeHeight="251666432" behindDoc="1" locked="0" layoutInCell="1" allowOverlap="1">
              <wp:simplePos x="0" y="0"/>
              <wp:positionH relativeFrom="page">
                <wp:posOffset>1143000</wp:posOffset>
              </wp:positionH>
              <wp:positionV relativeFrom="page">
                <wp:posOffset>817245</wp:posOffset>
              </wp:positionV>
              <wp:extent cx="5274310" cy="46355"/>
              <wp:effectExtent l="0" t="0" r="21590" b="10795"/>
              <wp:wrapNone/>
              <wp:docPr id="39" name="Group 1025"/>
              <wp:cNvGraphicFramePr/>
              <a:graphic xmlns:a="http://schemas.openxmlformats.org/drawingml/2006/main">
                <a:graphicData uri="http://schemas.microsoft.com/office/word/2010/wordprocessingGroup">
                  <wpg:wgp>
                    <wpg:cNvGrpSpPr/>
                    <wpg:grpSpPr>
                      <a:xfrm>
                        <a:off x="0" y="0"/>
                        <a:ext cx="5274310" cy="46355"/>
                        <a:chOff x="1800" y="1641"/>
                        <a:chExt cx="8306" cy="73"/>
                      </a:xfrm>
                    </wpg:grpSpPr>
                    <wps:wsp>
                      <wps:cNvPr id="41" name="Line 1026"/>
                      <wps:cNvCnPr/>
                      <wps:spPr bwMode="auto">
                        <a:xfrm>
                          <a:off x="1800" y="1648"/>
                          <a:ext cx="8306" cy="0"/>
                        </a:xfrm>
                        <a:prstGeom prst="line">
                          <a:avLst/>
                        </a:prstGeom>
                        <a:noFill/>
                        <a:ln w="9144">
                          <a:solidFill>
                            <a:srgbClr val="0F336C"/>
                          </a:solidFill>
                          <a:round/>
                        </a:ln>
                      </wps:spPr>
                      <wps:bodyPr/>
                    </wps:wsp>
                    <wps:wsp>
                      <wps:cNvPr id="42" name="Line 1027"/>
                      <wps:cNvCnPr/>
                      <wps:spPr bwMode="auto">
                        <a:xfrm>
                          <a:off x="1800" y="1677"/>
                          <a:ext cx="8306" cy="0"/>
                        </a:xfrm>
                        <a:prstGeom prst="line">
                          <a:avLst/>
                        </a:prstGeom>
                        <a:noFill/>
                        <a:ln w="27432">
                          <a:solidFill>
                            <a:srgbClr val="1A54B6"/>
                          </a:solidFill>
                          <a:round/>
                        </a:ln>
                      </wps:spPr>
                      <wps:bodyPr/>
                    </wps:wsp>
                    <wps:wsp>
                      <wps:cNvPr id="43"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w:pict>
            <v:group id="Group 1025" o:spid="_x0000_s1026" o:spt="203" style="position:absolute;left:0pt;margin-left:90pt;margin-top:64.35pt;height:3.65pt;width:415.3pt;mso-position-horizontal-relative:page;mso-position-vertical-relative:page;z-index:-251650048;mso-width-relative:page;mso-height-relative:page;" coordorigin="1800,1641" coordsize="8306,73" o:gfxdata="UEsDBAoAAAAAAIdO4kAAAAAAAAAAAAAAAAAEAAAAZHJzL1BLAwQUAAAACACHTuJAspfdNtoAAAAM&#10;AQAADwAAAGRycy9kb3ducmV2LnhtbE2PwWrDMBBE74X+g9hCb43khLrGsRxKaHsKhSaFkptibWwT&#10;a2UsxU7+vptTe5thh9k3xeriOjHiEFpPGpKZAoFUedtSreF79/6UgQjRkDWdJ9RwxQCr8v6uMLn1&#10;E33huI214BIKudHQxNjnUoaqQWfCzPdIfDv6wZnIdqilHczE5a6Tc6VS6UxL/KExPa4brE7bs9Pw&#10;MZnpdZG8jZvTcX3d754/fzYJav34kKgliIiX+BeGGz6jQ8lMB38mG0THPlO8JbKYZy8gbgmVqBTE&#10;gdUiVSDLQv4fUf4CUEsDBBQAAAAIAIdO4kC3ceMUUgIAAIMHAAAOAAAAZHJzL2Uyb0RvYy54bWzV&#10;VU2P2yAQvVfqf0DcG3/GzlpxVm2yyWW7XWnbH0Aw/pBsQEDi5N93wE6yTQ+t0t1DL9jMwDDvvRmY&#10;3x+6Fu2Z0o3gOQ4mPkaMU1E0vMrxj+/rTzOMtCG8IK3gLMdHpvH94uOHeS8zFopatAVTCIJwnfUy&#10;x7UxMvM8TWvWET0RknFwlkJ1xMBUVV6hSA/Ru9YLfT/xeqEKqQRlWoN1NTjxwsUvS0bNt7LUzKA2&#10;x5CbcaNy49aO3mJOskoRWTd0TIPckEVHGg6HnkOtiCFop5rfQnUNVUKL0kyo6DxRlg1lDgOgCfwr&#10;NBsldtJhqbK+kmeagNornm4OS5/2zwo1RY6jO4w46UAjdywK/HBq6elllcGqjZIv8lmNhmqYWcSH&#10;UnX2C1jQwRF7PBPLDgZRME7DNI4C4J+CL06iqYtMMlqDOnZXMPPBC84giYNBFFo/jLtnkZ8MW9PI&#10;+rzToZ7N7ZxKL6GE9IUl/W8svdREMke+tvhHliC7kaXHhjNLUjKQ5BYt+ciQzjSQhbb9V1EAo2Rn&#10;hCuPK7Jew54NsE+UXUC7Ij1jJplU2myY6JD9yXELebjYZP+ozUDPaYnVhYt107ZgJ1nLUZ/juyCO&#10;3QYt2qawTuvTqtouW4X2xHbKOoqS5cj1L8ugInkxHNJykMKSbqHaOtHZVhRHx4CzgxiD+f1VCa9V&#10;Sd9GldTFIdn7q2I7JPyDLMHnafzF1RuUw/8gS3QtiytyWynQUbc3Swr3gSvo95flL5olDtLVQ/gm&#10;zeIuNLjp3R03vkr2KXk9d013eTs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yl9022gAAAAwB&#10;AAAPAAAAAAAAAAEAIAAAACIAAABkcnMvZG93bnJldi54bWxQSwECFAAUAAAACACHTuJAt3HjFFIC&#10;AACDBwAADgAAAAAAAAABACAAAAApAQAAZHJzL2Uyb0RvYy54bWxQSwUGAAAAAAYABgBZAQAA7QUA&#10;AAAA&#10;">
              <o:lock v:ext="edit" aspectratio="f"/>
              <v:line id="Line 1026" o:spid="_x0000_s1026" o:spt="20" style="position:absolute;left:1800;top:1648;height:0;width:8306;" filled="f" stroked="t" coordsize="21600,21600" o:gfxdata="UEsDBAoAAAAAAIdO4kAAAAAAAAAAAAAAAAAEAAAAZHJzL1BLAwQUAAAACACHTuJAD3buYr4AAADb&#10;AAAADwAAAGRycy9kb3ducmV2LnhtbEWPQWsCMRSE7wX/Q3hCL6WbbNUiW6OHYqGHIugK4u1189xd&#10;3LwsSbraf28KBY/DzHzDLFZX24mBfGgda8gzBYK4cqblWsO+/HiegwgR2WDnmDT8UoDVcvSwwMK4&#10;C29p2MVaJAiHAjU0MfaFlKFqyGLIXE+cvJPzFmOSvpbG4yXBbSdflHqVFltOCw329N5Qdd792ET5&#10;8uVkrb6PNpr1YXgqN5t+Rlo/jnP1BiLSNd7D/+1Po2Gaw9+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buYr4A&#10;AADbAAAADwAAAAAAAAABACAAAAAiAAAAZHJzL2Rvd25yZXYueG1sUEsBAhQAFAAAAAgAh07iQDMv&#10;BZ47AAAAOQAAABAAAAAAAAAAAQAgAAAADQEAAGRycy9zaGFwZXhtbC54bWxQSwUGAAAAAAYABgBb&#10;AQAAtwM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G6L2CLwAAADb&#10;AAAADwAAAGRycy9kb3ducmV2LnhtbEWPT4vCMBTE7wt+h/AEL4tNFVmW2ihYFLQXWVc8P5tnW2xe&#10;ShP/fXsjCB6HmfkNk87vphFX6lxtWcEoikEQF1bXXCrY/6+GvyCcR9bYWCYFD3Iwn/W+Uky0vfEf&#10;XXe+FAHCLkEFlfdtIqUrKjLoItsSB+9kO4M+yK6UusNbgJtGjuP4RxqsOSxU2FJWUXHeXYyC7Jgf&#10;s710+XKxOfia7Lb9zrdKDfqjeArC091/wu/2WiuYjOH1Jfw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i9gi8AAAA&#10;2wAAAA8AAAAAAAAAAQAgAAAAIgAAAGRycy9kb3ducmV2LnhtbFBLAQIUABQAAAAIAIdO4kAzLwWe&#10;OwAAADkAAAAQAAAAAAAAAAEAIAAAAAsBAABkcnMvc2hhcGV4bWwueG1sUEsFBgAAAAAGAAYAWwEA&#10;ALUDA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D+RXnb4AAADb&#10;AAAADwAAAGRycy9kb3ducmV2LnhtbEWPQWuDQBSE74X8h+UFcmtWUwnBZCM0YEhORdMeent1X1Tq&#10;vhV3q/bfdwuFHoeZ+YY5ZLPpxEiDay0riNcRCOLK6pZrBa+3/HEHwnlkjZ1lUvBNDrLj4uGAqbYT&#10;FzSWvhYBwi5FBY33fSqlqxoy6Na2Jw7e3Q4GfZBDLfWAU4CbTm6iaCsNthwWGuzp1FD1WX4ZBdu2&#10;eJ7yze58tSW+528vl2r6SJRaLeNoD8LT7P/Df+2LVpA8we+X8AP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Xnb4A&#10;AADbAAAADwAAAAAAAAABACAAAAAiAAAAZHJzL2Rvd25yZXYueG1sUEsBAhQAFAAAAAgAh07iQDMv&#10;BZ47AAAAOQAAABAAAAAAAAAAAQAgAAAADQEAAGRycy9zaGFwZXhtbC54bWxQSwUGAAAAAAYABgBb&#10;AQAAtwMAAAAA&#10;">
                <v:fill on="f" focussize="0,0"/>
                <v:stroke weight="0.72pt" color="#417DE2" joinstyle="round"/>
                <v:imagedata o:title=""/>
                <o:lock v:ext="edit" aspectratio="f"/>
              </v:lin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0" distR="0" simplePos="0" relativeHeight="251654144" behindDoc="1" locked="0" layoutInCell="1" allowOverlap="1">
          <wp:simplePos x="0" y="0"/>
          <wp:positionH relativeFrom="page">
            <wp:posOffset>1117600</wp:posOffset>
          </wp:positionH>
          <wp:positionV relativeFrom="page">
            <wp:posOffset>424815</wp:posOffset>
          </wp:positionV>
          <wp:extent cx="1405255" cy="396240"/>
          <wp:effectExtent l="0" t="0" r="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a:picLocks noChangeAspect="1"/>
                  </pic:cNvPicPr>
                </pic:nvPicPr>
                <pic:blipFill>
                  <a:blip r:embed="rId1" cstate="print"/>
                  <a:stretch>
                    <a:fillRect/>
                  </a:stretch>
                </pic:blipFill>
                <pic:spPr>
                  <a:xfrm>
                    <a:off x="0" y="0"/>
                    <a:ext cx="1405255" cy="396240"/>
                  </a:xfrm>
                  <a:prstGeom prst="rect">
                    <a:avLst/>
                  </a:prstGeom>
                </pic:spPr>
              </pic:pic>
            </a:graphicData>
          </a:graphic>
        </wp:anchor>
      </w:drawing>
    </w:r>
    <w:r>
      <mc:AlternateContent>
        <mc:Choice Requires="wpg">
          <w:drawing>
            <wp:anchor distT="0" distB="0" distL="114300" distR="114300" simplePos="0" relativeHeight="251657216" behindDoc="1" locked="0" layoutInCell="1" allowOverlap="1">
              <wp:simplePos x="0" y="0"/>
              <wp:positionH relativeFrom="page">
                <wp:posOffset>1117600</wp:posOffset>
              </wp:positionH>
              <wp:positionV relativeFrom="page">
                <wp:posOffset>850900</wp:posOffset>
              </wp:positionV>
              <wp:extent cx="5274310" cy="46355"/>
              <wp:effectExtent l="0" t="0" r="21590" b="10795"/>
              <wp:wrapNone/>
              <wp:docPr id="68" name="Group 1025"/>
              <wp:cNvGraphicFramePr/>
              <a:graphic xmlns:a="http://schemas.openxmlformats.org/drawingml/2006/main">
                <a:graphicData uri="http://schemas.microsoft.com/office/word/2010/wordprocessingGroup">
                  <wpg:wgp>
                    <wpg:cNvGrpSpPr/>
                    <wpg:grpSpPr>
                      <a:xfrm>
                        <a:off x="0" y="0"/>
                        <a:ext cx="5274310" cy="46355"/>
                        <a:chOff x="1800" y="1641"/>
                        <a:chExt cx="8306" cy="73"/>
                      </a:xfrm>
                    </wpg:grpSpPr>
                    <wps:wsp>
                      <wps:cNvPr id="69" name="Line 1026"/>
                      <wps:cNvCnPr/>
                      <wps:spPr bwMode="auto">
                        <a:xfrm>
                          <a:off x="1800" y="1648"/>
                          <a:ext cx="8306" cy="0"/>
                        </a:xfrm>
                        <a:prstGeom prst="line">
                          <a:avLst/>
                        </a:prstGeom>
                        <a:noFill/>
                        <a:ln w="9144">
                          <a:solidFill>
                            <a:srgbClr val="0F336C"/>
                          </a:solidFill>
                          <a:round/>
                        </a:ln>
                      </wps:spPr>
                      <wps:bodyPr/>
                    </wps:wsp>
                    <wps:wsp>
                      <wps:cNvPr id="70" name="Line 1027"/>
                      <wps:cNvCnPr/>
                      <wps:spPr bwMode="auto">
                        <a:xfrm>
                          <a:off x="1800" y="1677"/>
                          <a:ext cx="8306" cy="0"/>
                        </a:xfrm>
                        <a:prstGeom prst="line">
                          <a:avLst/>
                        </a:prstGeom>
                        <a:noFill/>
                        <a:ln w="27432">
                          <a:solidFill>
                            <a:srgbClr val="1A54B6"/>
                          </a:solidFill>
                          <a:round/>
                        </a:ln>
                      </wps:spPr>
                      <wps:bodyPr/>
                    </wps:wsp>
                    <wps:wsp>
                      <wps:cNvPr id="71"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w:pict>
            <v:group id="Group 1025" o:spid="_x0000_s1026" o:spt="203" style="position:absolute;left:0pt;margin-left:88pt;margin-top:67pt;height:3.65pt;width:415.3pt;mso-position-horizontal-relative:page;mso-position-vertical-relative:page;z-index:-251659264;mso-width-relative:page;mso-height-relative:page;" coordorigin="1800,1641" coordsize="8306,73" o:gfxdata="UEsDBAoAAAAAAIdO4kAAAAAAAAAAAAAAAAAEAAAAZHJzL1BLAwQUAAAACACHTuJAadSSx9cAAAAM&#10;AQAADwAAAGRycy9kb3ducmV2LnhtbE1PTUvDQBS8C/6H5Qne7GZNjRKzKVLUUxFshdLbNvuahGbf&#10;huw2af+9rye9zTDDfBSLs+vEiENoPWlQswQEUuVtS7WGn83HwwuIEA1Z03lCDRcMsChvbwqTWz/R&#10;N47rWAsOoZAbDU2MfS5lqBp0Jsx8j8TawQ/ORKZDLe1gJg53nXxMkkw60xI3NKbHZYPVcX1yGj4n&#10;M72l6n1cHQ/Ly27z9LVdKdT6/k4lryAinuOfGa7zeTqUvGnvT2SD6Jg/Z/wlMkjnDK4O7stA7BnN&#10;VQqyLOT/E+UvUEsDBBQAAAAIAIdO4kDESmyEVAIAAIMHAAAOAAAAZHJzL2Uyb0RvYy54bWzVVUuP&#10;2jAQvlfqf7ByL3kQEtYirFpYuGy3K237A4zjPKTEtmxD4N937CSwpYdWdPfQS8Az9tjfY+zF/bFt&#10;0IEpXQueeeEk8BDjVOQ1LzPvx/fNp7mHtCE8J43gLPNOTHv3y48fFp3ELBKVaHKmEBThGncy8ypj&#10;JPZ9TSvWEj0RknFIFkK1xMBQlX6uSAfV28aPgiDxO6FyqQRlWkN03Se9patfFIyab0WhmUFN5sHZ&#10;jPsq993Zr79cEFwqIquaDscgN5yiJTWHTc+l1sQQtFf1b6XamiqhRWEmVLS+KIqaMocB0ITBFZqt&#10;EnvpsJS4K+WZJqD2iqeby9Knw7NCdZ55CSjFSQsauW1RGEQzS08nSwyztkq+yGc1BMp+ZBEfC9Xa&#10;X8CCjo7Y05lYdjSIQnAWpfE0BP4p5OJkOnOVCaYVqGNXhfMAspAMkzjsRaHVw7B6Pg2Sfmk6tTl/&#10;3NS3ZzsfpZNgIX1hSf8bSy8VkcyRry3+kaW7kaXHmjNLUtKT5Cat+MCQxhrIQrvuq8iBUbI3wtnj&#10;iqzXsOc97JGyC2hn0jNmgqXSZstEi+yfzGvgHK42OTxq09MzTrG6cLGpmwbiBDccdZl3F8axW6BF&#10;U+c2aXNalbtVo9CB2E7ZTKfJauD6l2ngSJ73mzQcpLCkW6jWJxrvRH5yDLg4iNGH312VFMzTe3dU&#10;JX0bVVJXh+D3V8V2SPQHWcLPs/iL8xvY4X+QJbyWxZncOgU66vZmSeE+cIZ+f1n+olniMF0/RG/S&#10;LO5Cg5ve3XHDq2Sfktdj13SXt3P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nUksfXAAAADAEA&#10;AA8AAAAAAAAAAQAgAAAAIgAAAGRycy9kb3ducmV2LnhtbFBLAQIUABQAAAAIAIdO4kDESmyEVAIA&#10;AIMHAAAOAAAAAAAAAAEAIAAAACYBAABkcnMvZTJvRG9jLnhtbFBLBQYAAAAABgAGAFkBAADsBQAA&#10;AAA=&#10;">
              <o:lock v:ext="edit" aspectratio="f"/>
              <v:line id="Line 1026" o:spid="_x0000_s1026" o:spt="20" style="position:absolute;left:1800;top:1648;height:0;width:8306;" filled="f" stroked="t" coordsize="21600,21600" o:gfxdata="UEsDBAoAAAAAAIdO4kAAAAAAAAAAAAAAAAAEAAAAZHJzL1BLAwQUAAAACACHTuJAurW+BL0AAADb&#10;AAAADwAAAGRycy9kb3ducmV2LnhtbEWPQWsCMRSE74L/ITzBi9RERWm3Rg9FwUMRdAXp7XXzurt0&#10;87Ik6Wr/vREEj8PMfMMs11fbiI58qB1rmIwVCOLCmZpLDad8+/IKIkRkg41j0vBPAdarfm+JmXEX&#10;PlB3jKVIEA4ZaqhibDMpQ1GRxTB2LXHyfpy3GJP0pTQeLwluGzlVaiEt1pwWKmzpo6Li9/hnE+XT&#10;57ON+v6y0WzO3Sjf79s5aT0cTNQ7iEjX+Aw/2jujYfEG9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b4EvQAA&#10;ANsAAAAPAAAAAAAAAAEAIAAAACIAAABkcnMvZG93bnJldi54bWxQSwECFAAUAAAACACHTuJAMy8F&#10;njsAAAA5AAAAEAAAAAAAAAABACAAAAAMAQAAZHJzL3NoYXBleG1sLnhtbFBLBQYAAAAABgAGAFsB&#10;AAC2Aw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SlAHWbYAAADb&#10;AAAADwAAAGRycy9kb3ducmV2LnhtbEVPyQrCMBC9C/5DGMGLaKoHlWoULArai7jgeWzGtthMShO3&#10;vzcHwePj7fPl21TiSY0rLSsYDiIQxJnVJecKzqdNfwrCeWSNlWVS8CEHy0W7NcdY2xcf6Hn0uQgh&#10;7GJUUHhfx1K6rCCDbmBr4sDdbGPQB9jkUjf4CuGmkqMoGkuDJYeGAmtKCsrux4dRkFzTa3KWLl2v&#10;dhdfkt3XvXSvVLczjGYgPL39X/xzb7WCSVgfvoQf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pQB1m2AAAA2wAAAA8A&#10;AAAAAAAAAQAgAAAAIgAAAGRycy9kb3ducmV2LnhtbFBLAQIUABQAAAAIAIdO4kAzLwWeOwAAADkA&#10;AAAQAAAAAAAAAAEAIAAAAAUBAABkcnMvc2hhcGV4bWwueG1sUEsFBgAAAAAGAAYAWwEAAK8DAAAA&#10;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XhamzL4AAADb&#10;AAAADwAAAGRycy9kb3ducmV2LnhtbEWPQWvCQBSE7wX/w/IEb3UTkSipq6AQsaeStB68vWZfk9Ds&#10;25Bdk/TfdwsFj8PMfMPsDpNpxUC9aywriJcRCOLS6oYrBR/v2fMWhPPIGlvLpOCHHBz2s6cdptqO&#10;nNNQ+EoECLsUFdTed6mUrqzJoFvajjh4X7Y36IPsK6l7HAPctHIVRYk02HBYqLGjU03ld3E3CpIm&#10;P47Zant+tQXesuvbpRw/10ot5nH0AsLT5B/h//ZFK9jE8Pcl/A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amzL4A&#10;AADbAAAADwAAAAAAAAABACAAAAAiAAAAZHJzL2Rvd25yZXYueG1sUEsBAhQAFAAAAAgAh07iQDMv&#10;BZ47AAAAOQAAABAAAAAAAAAAAQAgAAAADQEAAGRycy9zaGFwZXhtbC54bWxQSwUGAAAAAAYABgBb&#10;AQAAtwMAAAAA&#10;">
                <v:fill on="f" focussize="0,0"/>
                <v:stroke weight="0.72pt" color="#417DE2" joinstyle="round"/>
                <v:imagedata o:title=""/>
                <o:lock v:ext="edit" aspectratio="f"/>
              </v:lin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A8"/>
    <w:rsid w:val="00000C31"/>
    <w:rsid w:val="000066A9"/>
    <w:rsid w:val="000070D4"/>
    <w:rsid w:val="00010A15"/>
    <w:rsid w:val="00010C7D"/>
    <w:rsid w:val="00011719"/>
    <w:rsid w:val="000255D6"/>
    <w:rsid w:val="00026CB0"/>
    <w:rsid w:val="00033CE4"/>
    <w:rsid w:val="00040288"/>
    <w:rsid w:val="00041F25"/>
    <w:rsid w:val="00043226"/>
    <w:rsid w:val="0004367E"/>
    <w:rsid w:val="000454C4"/>
    <w:rsid w:val="00057D50"/>
    <w:rsid w:val="00064B29"/>
    <w:rsid w:val="00065FAA"/>
    <w:rsid w:val="000708AB"/>
    <w:rsid w:val="00075CD4"/>
    <w:rsid w:val="00082A22"/>
    <w:rsid w:val="0008564E"/>
    <w:rsid w:val="00092D4E"/>
    <w:rsid w:val="00092FF9"/>
    <w:rsid w:val="00093271"/>
    <w:rsid w:val="000A41C8"/>
    <w:rsid w:val="000B2E6C"/>
    <w:rsid w:val="000B451C"/>
    <w:rsid w:val="000C2775"/>
    <w:rsid w:val="000C3751"/>
    <w:rsid w:val="000C51DF"/>
    <w:rsid w:val="000D2C4F"/>
    <w:rsid w:val="000D431F"/>
    <w:rsid w:val="000D5753"/>
    <w:rsid w:val="000D5D9C"/>
    <w:rsid w:val="000E0497"/>
    <w:rsid w:val="000E2671"/>
    <w:rsid w:val="000E7CD4"/>
    <w:rsid w:val="000F4125"/>
    <w:rsid w:val="000F4D11"/>
    <w:rsid w:val="000F795D"/>
    <w:rsid w:val="00105857"/>
    <w:rsid w:val="00111757"/>
    <w:rsid w:val="00124F97"/>
    <w:rsid w:val="0012552F"/>
    <w:rsid w:val="00131D31"/>
    <w:rsid w:val="0013204A"/>
    <w:rsid w:val="00136B2F"/>
    <w:rsid w:val="00140646"/>
    <w:rsid w:val="00142385"/>
    <w:rsid w:val="001423BA"/>
    <w:rsid w:val="001465F0"/>
    <w:rsid w:val="00147564"/>
    <w:rsid w:val="00151D44"/>
    <w:rsid w:val="00154F2C"/>
    <w:rsid w:val="001554A7"/>
    <w:rsid w:val="00156873"/>
    <w:rsid w:val="00165DF3"/>
    <w:rsid w:val="00171905"/>
    <w:rsid w:val="00185CC4"/>
    <w:rsid w:val="00186345"/>
    <w:rsid w:val="00186B92"/>
    <w:rsid w:val="0019048F"/>
    <w:rsid w:val="00192876"/>
    <w:rsid w:val="00195664"/>
    <w:rsid w:val="001A01E6"/>
    <w:rsid w:val="001A085A"/>
    <w:rsid w:val="001A1A41"/>
    <w:rsid w:val="001A1CDE"/>
    <w:rsid w:val="001A2FEE"/>
    <w:rsid w:val="001A7276"/>
    <w:rsid w:val="001A73BD"/>
    <w:rsid w:val="001B0CE2"/>
    <w:rsid w:val="001B31A5"/>
    <w:rsid w:val="001B642E"/>
    <w:rsid w:val="001C6E24"/>
    <w:rsid w:val="001D0DE6"/>
    <w:rsid w:val="001D124D"/>
    <w:rsid w:val="001D4A02"/>
    <w:rsid w:val="001D5149"/>
    <w:rsid w:val="001E6604"/>
    <w:rsid w:val="001F3CEF"/>
    <w:rsid w:val="001F7EEE"/>
    <w:rsid w:val="0020370B"/>
    <w:rsid w:val="00205BEF"/>
    <w:rsid w:val="002077B2"/>
    <w:rsid w:val="0021236C"/>
    <w:rsid w:val="002126CC"/>
    <w:rsid w:val="002135D7"/>
    <w:rsid w:val="00217515"/>
    <w:rsid w:val="00217A0D"/>
    <w:rsid w:val="002252BB"/>
    <w:rsid w:val="00234125"/>
    <w:rsid w:val="00240142"/>
    <w:rsid w:val="002441C4"/>
    <w:rsid w:val="00251719"/>
    <w:rsid w:val="002547CD"/>
    <w:rsid w:val="00254C1D"/>
    <w:rsid w:val="00261794"/>
    <w:rsid w:val="00267FDC"/>
    <w:rsid w:val="00270ACE"/>
    <w:rsid w:val="00271990"/>
    <w:rsid w:val="00271FA1"/>
    <w:rsid w:val="00275DD1"/>
    <w:rsid w:val="0028069D"/>
    <w:rsid w:val="002824F7"/>
    <w:rsid w:val="00285935"/>
    <w:rsid w:val="00290AB8"/>
    <w:rsid w:val="0029118F"/>
    <w:rsid w:val="0029266E"/>
    <w:rsid w:val="00293191"/>
    <w:rsid w:val="00296D4C"/>
    <w:rsid w:val="00297164"/>
    <w:rsid w:val="002A0BCD"/>
    <w:rsid w:val="002A0CD3"/>
    <w:rsid w:val="002A3CAD"/>
    <w:rsid w:val="002A419B"/>
    <w:rsid w:val="002A5191"/>
    <w:rsid w:val="002B139E"/>
    <w:rsid w:val="002B464D"/>
    <w:rsid w:val="002B5010"/>
    <w:rsid w:val="002B576A"/>
    <w:rsid w:val="002B5C3F"/>
    <w:rsid w:val="002B6102"/>
    <w:rsid w:val="002B7E96"/>
    <w:rsid w:val="002C02FC"/>
    <w:rsid w:val="002D0715"/>
    <w:rsid w:val="002D362E"/>
    <w:rsid w:val="002D4D2E"/>
    <w:rsid w:val="002D7C0D"/>
    <w:rsid w:val="002D7D64"/>
    <w:rsid w:val="002E3785"/>
    <w:rsid w:val="002E3B48"/>
    <w:rsid w:val="0030218F"/>
    <w:rsid w:val="00303FA1"/>
    <w:rsid w:val="003053D6"/>
    <w:rsid w:val="00306F38"/>
    <w:rsid w:val="00312CF7"/>
    <w:rsid w:val="00314C5E"/>
    <w:rsid w:val="003153E1"/>
    <w:rsid w:val="003162CC"/>
    <w:rsid w:val="00320FC8"/>
    <w:rsid w:val="00321086"/>
    <w:rsid w:val="00327E0E"/>
    <w:rsid w:val="00332748"/>
    <w:rsid w:val="00333664"/>
    <w:rsid w:val="00335532"/>
    <w:rsid w:val="00341DBF"/>
    <w:rsid w:val="003440C5"/>
    <w:rsid w:val="003474DF"/>
    <w:rsid w:val="00352535"/>
    <w:rsid w:val="0035303A"/>
    <w:rsid w:val="00355A79"/>
    <w:rsid w:val="00356C3C"/>
    <w:rsid w:val="00360BC8"/>
    <w:rsid w:val="0036377E"/>
    <w:rsid w:val="0036672F"/>
    <w:rsid w:val="00367511"/>
    <w:rsid w:val="00371CF7"/>
    <w:rsid w:val="003740E8"/>
    <w:rsid w:val="00375A17"/>
    <w:rsid w:val="003763F5"/>
    <w:rsid w:val="0037671D"/>
    <w:rsid w:val="00383EFD"/>
    <w:rsid w:val="00391C74"/>
    <w:rsid w:val="00392CE5"/>
    <w:rsid w:val="00394C43"/>
    <w:rsid w:val="00394DAB"/>
    <w:rsid w:val="003958A7"/>
    <w:rsid w:val="00396E76"/>
    <w:rsid w:val="00396EC5"/>
    <w:rsid w:val="003A1159"/>
    <w:rsid w:val="003A2B1B"/>
    <w:rsid w:val="003A2FBC"/>
    <w:rsid w:val="003A6143"/>
    <w:rsid w:val="003A6465"/>
    <w:rsid w:val="003B266D"/>
    <w:rsid w:val="003B6E7B"/>
    <w:rsid w:val="003B784A"/>
    <w:rsid w:val="003C3FDB"/>
    <w:rsid w:val="003C4909"/>
    <w:rsid w:val="003D24C8"/>
    <w:rsid w:val="003D46FB"/>
    <w:rsid w:val="003E4587"/>
    <w:rsid w:val="003E6B17"/>
    <w:rsid w:val="003E7818"/>
    <w:rsid w:val="003F0539"/>
    <w:rsid w:val="003F557A"/>
    <w:rsid w:val="004004F8"/>
    <w:rsid w:val="004038DC"/>
    <w:rsid w:val="00423AEA"/>
    <w:rsid w:val="004303D7"/>
    <w:rsid w:val="004369CF"/>
    <w:rsid w:val="00437243"/>
    <w:rsid w:val="00440C0A"/>
    <w:rsid w:val="00441876"/>
    <w:rsid w:val="004531F6"/>
    <w:rsid w:val="004544D2"/>
    <w:rsid w:val="00454DBB"/>
    <w:rsid w:val="00456E8A"/>
    <w:rsid w:val="00457284"/>
    <w:rsid w:val="004604C6"/>
    <w:rsid w:val="004625BB"/>
    <w:rsid w:val="0046485F"/>
    <w:rsid w:val="004718F1"/>
    <w:rsid w:val="00474A43"/>
    <w:rsid w:val="00474CA7"/>
    <w:rsid w:val="004804E1"/>
    <w:rsid w:val="004828E0"/>
    <w:rsid w:val="004916E7"/>
    <w:rsid w:val="00495CA0"/>
    <w:rsid w:val="004A0AA9"/>
    <w:rsid w:val="004A17BC"/>
    <w:rsid w:val="004A2752"/>
    <w:rsid w:val="004A2A01"/>
    <w:rsid w:val="004A3F61"/>
    <w:rsid w:val="004A44B7"/>
    <w:rsid w:val="004A5105"/>
    <w:rsid w:val="004A541A"/>
    <w:rsid w:val="004A6B8A"/>
    <w:rsid w:val="004B2488"/>
    <w:rsid w:val="004B3BD0"/>
    <w:rsid w:val="004B535E"/>
    <w:rsid w:val="004B5C0E"/>
    <w:rsid w:val="004B5C0F"/>
    <w:rsid w:val="004C01E7"/>
    <w:rsid w:val="004C129E"/>
    <w:rsid w:val="004D0F1A"/>
    <w:rsid w:val="004D2092"/>
    <w:rsid w:val="004D30BD"/>
    <w:rsid w:val="004D5FB1"/>
    <w:rsid w:val="004E067E"/>
    <w:rsid w:val="004E1629"/>
    <w:rsid w:val="004E184E"/>
    <w:rsid w:val="004E6D32"/>
    <w:rsid w:val="004E7C71"/>
    <w:rsid w:val="004F05BF"/>
    <w:rsid w:val="004F2126"/>
    <w:rsid w:val="004F77B3"/>
    <w:rsid w:val="005030A9"/>
    <w:rsid w:val="00511B02"/>
    <w:rsid w:val="00520094"/>
    <w:rsid w:val="00520537"/>
    <w:rsid w:val="0052215E"/>
    <w:rsid w:val="005225A0"/>
    <w:rsid w:val="0052697A"/>
    <w:rsid w:val="00531A62"/>
    <w:rsid w:val="00535A9B"/>
    <w:rsid w:val="005453B4"/>
    <w:rsid w:val="005476FC"/>
    <w:rsid w:val="00547942"/>
    <w:rsid w:val="00547D67"/>
    <w:rsid w:val="00551CED"/>
    <w:rsid w:val="005542ED"/>
    <w:rsid w:val="005556F6"/>
    <w:rsid w:val="005577F8"/>
    <w:rsid w:val="00571601"/>
    <w:rsid w:val="005723CA"/>
    <w:rsid w:val="00574241"/>
    <w:rsid w:val="005754B2"/>
    <w:rsid w:val="005767D0"/>
    <w:rsid w:val="0057698D"/>
    <w:rsid w:val="0057799E"/>
    <w:rsid w:val="00580D0D"/>
    <w:rsid w:val="00581DE7"/>
    <w:rsid w:val="00595411"/>
    <w:rsid w:val="00596F54"/>
    <w:rsid w:val="005A182F"/>
    <w:rsid w:val="005A4C43"/>
    <w:rsid w:val="005B1B6B"/>
    <w:rsid w:val="005B24DE"/>
    <w:rsid w:val="005B3CE2"/>
    <w:rsid w:val="005B4E69"/>
    <w:rsid w:val="005B5302"/>
    <w:rsid w:val="005B6CFD"/>
    <w:rsid w:val="005B6D53"/>
    <w:rsid w:val="005C090F"/>
    <w:rsid w:val="005C2120"/>
    <w:rsid w:val="005C6DAC"/>
    <w:rsid w:val="005D21CF"/>
    <w:rsid w:val="005D56B9"/>
    <w:rsid w:val="005D5886"/>
    <w:rsid w:val="005E3456"/>
    <w:rsid w:val="005E7BDD"/>
    <w:rsid w:val="005E7C2A"/>
    <w:rsid w:val="005F2F13"/>
    <w:rsid w:val="005F7DE8"/>
    <w:rsid w:val="006051D0"/>
    <w:rsid w:val="006064EB"/>
    <w:rsid w:val="00615081"/>
    <w:rsid w:val="00617650"/>
    <w:rsid w:val="006233A5"/>
    <w:rsid w:val="006235BC"/>
    <w:rsid w:val="006242D4"/>
    <w:rsid w:val="0062441D"/>
    <w:rsid w:val="0063613C"/>
    <w:rsid w:val="00646F11"/>
    <w:rsid w:val="006534A7"/>
    <w:rsid w:val="0065469D"/>
    <w:rsid w:val="00654B69"/>
    <w:rsid w:val="0065756F"/>
    <w:rsid w:val="00660DC6"/>
    <w:rsid w:val="00661437"/>
    <w:rsid w:val="0066179A"/>
    <w:rsid w:val="006636BB"/>
    <w:rsid w:val="00663E0C"/>
    <w:rsid w:val="00666A80"/>
    <w:rsid w:val="00674A52"/>
    <w:rsid w:val="006764C9"/>
    <w:rsid w:val="00694777"/>
    <w:rsid w:val="00697AF8"/>
    <w:rsid w:val="006A0671"/>
    <w:rsid w:val="006A5CF8"/>
    <w:rsid w:val="006A6113"/>
    <w:rsid w:val="006B2D47"/>
    <w:rsid w:val="006B39D0"/>
    <w:rsid w:val="006B43CB"/>
    <w:rsid w:val="006B6CA7"/>
    <w:rsid w:val="006C0D87"/>
    <w:rsid w:val="006C33A1"/>
    <w:rsid w:val="006C3A35"/>
    <w:rsid w:val="006C636E"/>
    <w:rsid w:val="006D0287"/>
    <w:rsid w:val="006D2BB9"/>
    <w:rsid w:val="006D3CC4"/>
    <w:rsid w:val="006F3D6F"/>
    <w:rsid w:val="006F6F29"/>
    <w:rsid w:val="006F78EB"/>
    <w:rsid w:val="00701338"/>
    <w:rsid w:val="007016A4"/>
    <w:rsid w:val="00701A9D"/>
    <w:rsid w:val="00705F59"/>
    <w:rsid w:val="00706345"/>
    <w:rsid w:val="00713D3A"/>
    <w:rsid w:val="00715D2C"/>
    <w:rsid w:val="007168E9"/>
    <w:rsid w:val="00721055"/>
    <w:rsid w:val="0072325F"/>
    <w:rsid w:val="007246FD"/>
    <w:rsid w:val="0073240A"/>
    <w:rsid w:val="00732C61"/>
    <w:rsid w:val="00733E05"/>
    <w:rsid w:val="0073403D"/>
    <w:rsid w:val="007340D4"/>
    <w:rsid w:val="007343A6"/>
    <w:rsid w:val="00734E88"/>
    <w:rsid w:val="00735CCF"/>
    <w:rsid w:val="00747798"/>
    <w:rsid w:val="00753257"/>
    <w:rsid w:val="007642C2"/>
    <w:rsid w:val="00764FB3"/>
    <w:rsid w:val="00766796"/>
    <w:rsid w:val="00766B2C"/>
    <w:rsid w:val="00776D5D"/>
    <w:rsid w:val="00782757"/>
    <w:rsid w:val="0078728A"/>
    <w:rsid w:val="00787433"/>
    <w:rsid w:val="0079319D"/>
    <w:rsid w:val="00796843"/>
    <w:rsid w:val="007A1E87"/>
    <w:rsid w:val="007A2CAB"/>
    <w:rsid w:val="007A2ECA"/>
    <w:rsid w:val="007A35C0"/>
    <w:rsid w:val="007A7CD6"/>
    <w:rsid w:val="007B204A"/>
    <w:rsid w:val="007B399A"/>
    <w:rsid w:val="007B566A"/>
    <w:rsid w:val="007B6707"/>
    <w:rsid w:val="007B7E9A"/>
    <w:rsid w:val="007C224F"/>
    <w:rsid w:val="007C2DCB"/>
    <w:rsid w:val="007C3043"/>
    <w:rsid w:val="007C5CDA"/>
    <w:rsid w:val="007D532B"/>
    <w:rsid w:val="007D5334"/>
    <w:rsid w:val="007E0A08"/>
    <w:rsid w:val="007E2196"/>
    <w:rsid w:val="007F0826"/>
    <w:rsid w:val="007F101A"/>
    <w:rsid w:val="007F2BA1"/>
    <w:rsid w:val="007F72D0"/>
    <w:rsid w:val="00801F94"/>
    <w:rsid w:val="00801FA5"/>
    <w:rsid w:val="00803FEE"/>
    <w:rsid w:val="008049D4"/>
    <w:rsid w:val="0080637F"/>
    <w:rsid w:val="00814E38"/>
    <w:rsid w:val="00815CC7"/>
    <w:rsid w:val="0082235D"/>
    <w:rsid w:val="00822758"/>
    <w:rsid w:val="00825C48"/>
    <w:rsid w:val="00825E71"/>
    <w:rsid w:val="0083221A"/>
    <w:rsid w:val="0083285B"/>
    <w:rsid w:val="00835131"/>
    <w:rsid w:val="008412F9"/>
    <w:rsid w:val="00844A26"/>
    <w:rsid w:val="00856B29"/>
    <w:rsid w:val="0085787F"/>
    <w:rsid w:val="00857CF7"/>
    <w:rsid w:val="00863700"/>
    <w:rsid w:val="00863F9E"/>
    <w:rsid w:val="00867408"/>
    <w:rsid w:val="00871C5F"/>
    <w:rsid w:val="0087453D"/>
    <w:rsid w:val="00876E15"/>
    <w:rsid w:val="00886CEC"/>
    <w:rsid w:val="0088746B"/>
    <w:rsid w:val="00891110"/>
    <w:rsid w:val="008931AB"/>
    <w:rsid w:val="008A1D57"/>
    <w:rsid w:val="008A306D"/>
    <w:rsid w:val="008A3DBF"/>
    <w:rsid w:val="008B02FC"/>
    <w:rsid w:val="008B4FBC"/>
    <w:rsid w:val="008C05AC"/>
    <w:rsid w:val="008C2A01"/>
    <w:rsid w:val="008C31AA"/>
    <w:rsid w:val="008D4744"/>
    <w:rsid w:val="008D4ED4"/>
    <w:rsid w:val="008D53D2"/>
    <w:rsid w:val="008E43D4"/>
    <w:rsid w:val="008E58D4"/>
    <w:rsid w:val="008F04BE"/>
    <w:rsid w:val="008F2BE6"/>
    <w:rsid w:val="009011C6"/>
    <w:rsid w:val="00902729"/>
    <w:rsid w:val="009058E7"/>
    <w:rsid w:val="009061C4"/>
    <w:rsid w:val="0091069C"/>
    <w:rsid w:val="00911F3D"/>
    <w:rsid w:val="00912B31"/>
    <w:rsid w:val="00917118"/>
    <w:rsid w:val="00917480"/>
    <w:rsid w:val="009247C5"/>
    <w:rsid w:val="00926695"/>
    <w:rsid w:val="00931CD4"/>
    <w:rsid w:val="00933C4D"/>
    <w:rsid w:val="00934661"/>
    <w:rsid w:val="0094081D"/>
    <w:rsid w:val="00941D95"/>
    <w:rsid w:val="00942B92"/>
    <w:rsid w:val="009458FC"/>
    <w:rsid w:val="00947BF4"/>
    <w:rsid w:val="009505DF"/>
    <w:rsid w:val="00955DB0"/>
    <w:rsid w:val="00957E1E"/>
    <w:rsid w:val="00961E59"/>
    <w:rsid w:val="00962708"/>
    <w:rsid w:val="009667F7"/>
    <w:rsid w:val="00970546"/>
    <w:rsid w:val="00970E2A"/>
    <w:rsid w:val="009732EE"/>
    <w:rsid w:val="009738F0"/>
    <w:rsid w:val="00980E3E"/>
    <w:rsid w:val="00993B8C"/>
    <w:rsid w:val="00994479"/>
    <w:rsid w:val="009973A4"/>
    <w:rsid w:val="009A314F"/>
    <w:rsid w:val="009A4EE5"/>
    <w:rsid w:val="009C2B6D"/>
    <w:rsid w:val="009C79BC"/>
    <w:rsid w:val="009D1A1B"/>
    <w:rsid w:val="009E3427"/>
    <w:rsid w:val="009E484E"/>
    <w:rsid w:val="009E56AA"/>
    <w:rsid w:val="009F06BA"/>
    <w:rsid w:val="009F2448"/>
    <w:rsid w:val="009F545E"/>
    <w:rsid w:val="009F5F3C"/>
    <w:rsid w:val="00A00FA8"/>
    <w:rsid w:val="00A03DA9"/>
    <w:rsid w:val="00A0401E"/>
    <w:rsid w:val="00A04127"/>
    <w:rsid w:val="00A067C5"/>
    <w:rsid w:val="00A15FE6"/>
    <w:rsid w:val="00A16CD9"/>
    <w:rsid w:val="00A173EB"/>
    <w:rsid w:val="00A20B9C"/>
    <w:rsid w:val="00A2263E"/>
    <w:rsid w:val="00A24F02"/>
    <w:rsid w:val="00A265BE"/>
    <w:rsid w:val="00A30364"/>
    <w:rsid w:val="00A352C7"/>
    <w:rsid w:val="00A35BD6"/>
    <w:rsid w:val="00A374E4"/>
    <w:rsid w:val="00A45AD8"/>
    <w:rsid w:val="00A530D8"/>
    <w:rsid w:val="00A541BE"/>
    <w:rsid w:val="00A56C04"/>
    <w:rsid w:val="00A57B58"/>
    <w:rsid w:val="00A73A7B"/>
    <w:rsid w:val="00A77983"/>
    <w:rsid w:val="00A87454"/>
    <w:rsid w:val="00A90BD2"/>
    <w:rsid w:val="00A9186D"/>
    <w:rsid w:val="00A92760"/>
    <w:rsid w:val="00A928BC"/>
    <w:rsid w:val="00A93336"/>
    <w:rsid w:val="00A93D3F"/>
    <w:rsid w:val="00A96837"/>
    <w:rsid w:val="00AA210F"/>
    <w:rsid w:val="00AA5E6C"/>
    <w:rsid w:val="00AA63F5"/>
    <w:rsid w:val="00AA64D6"/>
    <w:rsid w:val="00AA711A"/>
    <w:rsid w:val="00AB1081"/>
    <w:rsid w:val="00AB5B09"/>
    <w:rsid w:val="00AC3666"/>
    <w:rsid w:val="00AC76CA"/>
    <w:rsid w:val="00AD3722"/>
    <w:rsid w:val="00AE08FB"/>
    <w:rsid w:val="00AE3AF5"/>
    <w:rsid w:val="00AE44D5"/>
    <w:rsid w:val="00AE4F89"/>
    <w:rsid w:val="00AE59D8"/>
    <w:rsid w:val="00AE6172"/>
    <w:rsid w:val="00AF76A9"/>
    <w:rsid w:val="00AF77CB"/>
    <w:rsid w:val="00AF7A5D"/>
    <w:rsid w:val="00B04854"/>
    <w:rsid w:val="00B06AA2"/>
    <w:rsid w:val="00B11AE6"/>
    <w:rsid w:val="00B11EA4"/>
    <w:rsid w:val="00B1590F"/>
    <w:rsid w:val="00B2198C"/>
    <w:rsid w:val="00B2461A"/>
    <w:rsid w:val="00B25D7A"/>
    <w:rsid w:val="00B27C79"/>
    <w:rsid w:val="00B309A9"/>
    <w:rsid w:val="00B34F1C"/>
    <w:rsid w:val="00B434CA"/>
    <w:rsid w:val="00B45041"/>
    <w:rsid w:val="00B510AA"/>
    <w:rsid w:val="00B5324D"/>
    <w:rsid w:val="00B5406A"/>
    <w:rsid w:val="00B565E3"/>
    <w:rsid w:val="00B71055"/>
    <w:rsid w:val="00B76C47"/>
    <w:rsid w:val="00B86068"/>
    <w:rsid w:val="00B91B87"/>
    <w:rsid w:val="00B95464"/>
    <w:rsid w:val="00B9749E"/>
    <w:rsid w:val="00BA0F9C"/>
    <w:rsid w:val="00BA1FE2"/>
    <w:rsid w:val="00BA31DA"/>
    <w:rsid w:val="00BA32CD"/>
    <w:rsid w:val="00BA4AB4"/>
    <w:rsid w:val="00BA5ECE"/>
    <w:rsid w:val="00BB15CA"/>
    <w:rsid w:val="00BB3FFB"/>
    <w:rsid w:val="00BB51DE"/>
    <w:rsid w:val="00BC182C"/>
    <w:rsid w:val="00BC4DF5"/>
    <w:rsid w:val="00BC520F"/>
    <w:rsid w:val="00BC6C5A"/>
    <w:rsid w:val="00BD127B"/>
    <w:rsid w:val="00BD2A4B"/>
    <w:rsid w:val="00BD41AA"/>
    <w:rsid w:val="00BD525C"/>
    <w:rsid w:val="00BD603C"/>
    <w:rsid w:val="00BD7CB5"/>
    <w:rsid w:val="00BE19BA"/>
    <w:rsid w:val="00BE3B12"/>
    <w:rsid w:val="00BE42B2"/>
    <w:rsid w:val="00BE476E"/>
    <w:rsid w:val="00BE68BE"/>
    <w:rsid w:val="00BE6DEA"/>
    <w:rsid w:val="00C00C00"/>
    <w:rsid w:val="00C05108"/>
    <w:rsid w:val="00C0539F"/>
    <w:rsid w:val="00C11988"/>
    <w:rsid w:val="00C145D9"/>
    <w:rsid w:val="00C14E9A"/>
    <w:rsid w:val="00C249DC"/>
    <w:rsid w:val="00C27023"/>
    <w:rsid w:val="00C27D91"/>
    <w:rsid w:val="00C31702"/>
    <w:rsid w:val="00C3189C"/>
    <w:rsid w:val="00C335FA"/>
    <w:rsid w:val="00C367AD"/>
    <w:rsid w:val="00C40621"/>
    <w:rsid w:val="00C47826"/>
    <w:rsid w:val="00C51DB6"/>
    <w:rsid w:val="00C56FFD"/>
    <w:rsid w:val="00C57884"/>
    <w:rsid w:val="00C60F78"/>
    <w:rsid w:val="00C60FC9"/>
    <w:rsid w:val="00C61818"/>
    <w:rsid w:val="00C63D55"/>
    <w:rsid w:val="00C65C7C"/>
    <w:rsid w:val="00C74C01"/>
    <w:rsid w:val="00C75D3A"/>
    <w:rsid w:val="00C77047"/>
    <w:rsid w:val="00C77BA9"/>
    <w:rsid w:val="00C84376"/>
    <w:rsid w:val="00C84BA1"/>
    <w:rsid w:val="00C85647"/>
    <w:rsid w:val="00C87982"/>
    <w:rsid w:val="00C92FD2"/>
    <w:rsid w:val="00C956D4"/>
    <w:rsid w:val="00C97576"/>
    <w:rsid w:val="00CA2FA5"/>
    <w:rsid w:val="00CA70D2"/>
    <w:rsid w:val="00CB3E4D"/>
    <w:rsid w:val="00CB45AE"/>
    <w:rsid w:val="00CB62D4"/>
    <w:rsid w:val="00CC51AF"/>
    <w:rsid w:val="00CD5202"/>
    <w:rsid w:val="00CE06B6"/>
    <w:rsid w:val="00CE62B2"/>
    <w:rsid w:val="00CF6479"/>
    <w:rsid w:val="00D04843"/>
    <w:rsid w:val="00D075EB"/>
    <w:rsid w:val="00D157FE"/>
    <w:rsid w:val="00D3461E"/>
    <w:rsid w:val="00D359EC"/>
    <w:rsid w:val="00D51961"/>
    <w:rsid w:val="00D520F0"/>
    <w:rsid w:val="00D5376B"/>
    <w:rsid w:val="00D65A68"/>
    <w:rsid w:val="00D66A0B"/>
    <w:rsid w:val="00D67870"/>
    <w:rsid w:val="00D73C0A"/>
    <w:rsid w:val="00D74111"/>
    <w:rsid w:val="00D7421B"/>
    <w:rsid w:val="00D759D9"/>
    <w:rsid w:val="00D82DBE"/>
    <w:rsid w:val="00D82E9F"/>
    <w:rsid w:val="00D85159"/>
    <w:rsid w:val="00D85368"/>
    <w:rsid w:val="00D92F80"/>
    <w:rsid w:val="00D935C2"/>
    <w:rsid w:val="00DA1E43"/>
    <w:rsid w:val="00DA4063"/>
    <w:rsid w:val="00DA4E47"/>
    <w:rsid w:val="00DA603F"/>
    <w:rsid w:val="00DA7532"/>
    <w:rsid w:val="00DA7B07"/>
    <w:rsid w:val="00DA7E4C"/>
    <w:rsid w:val="00DB0920"/>
    <w:rsid w:val="00DB58D9"/>
    <w:rsid w:val="00DC10F3"/>
    <w:rsid w:val="00DC1702"/>
    <w:rsid w:val="00DC3401"/>
    <w:rsid w:val="00DC62CF"/>
    <w:rsid w:val="00DD1A2A"/>
    <w:rsid w:val="00DE0B85"/>
    <w:rsid w:val="00DE268B"/>
    <w:rsid w:val="00DE41D9"/>
    <w:rsid w:val="00DF43D0"/>
    <w:rsid w:val="00DF65DA"/>
    <w:rsid w:val="00DF7C25"/>
    <w:rsid w:val="00E113A7"/>
    <w:rsid w:val="00E119C0"/>
    <w:rsid w:val="00E11C5B"/>
    <w:rsid w:val="00E16315"/>
    <w:rsid w:val="00E21212"/>
    <w:rsid w:val="00E21538"/>
    <w:rsid w:val="00E22130"/>
    <w:rsid w:val="00E26F47"/>
    <w:rsid w:val="00E30FCD"/>
    <w:rsid w:val="00E36795"/>
    <w:rsid w:val="00E43763"/>
    <w:rsid w:val="00E46662"/>
    <w:rsid w:val="00E5306D"/>
    <w:rsid w:val="00E53C13"/>
    <w:rsid w:val="00E60661"/>
    <w:rsid w:val="00E60EC5"/>
    <w:rsid w:val="00E67CDB"/>
    <w:rsid w:val="00E7274B"/>
    <w:rsid w:val="00E72847"/>
    <w:rsid w:val="00E72E54"/>
    <w:rsid w:val="00E74349"/>
    <w:rsid w:val="00E775F3"/>
    <w:rsid w:val="00E811AB"/>
    <w:rsid w:val="00E91CD0"/>
    <w:rsid w:val="00E96E3C"/>
    <w:rsid w:val="00E96EF0"/>
    <w:rsid w:val="00EA235A"/>
    <w:rsid w:val="00EA79E0"/>
    <w:rsid w:val="00EA7FD8"/>
    <w:rsid w:val="00EB2C3F"/>
    <w:rsid w:val="00EB78CB"/>
    <w:rsid w:val="00EC1353"/>
    <w:rsid w:val="00EC2ED8"/>
    <w:rsid w:val="00EC553C"/>
    <w:rsid w:val="00ED3EBB"/>
    <w:rsid w:val="00ED552A"/>
    <w:rsid w:val="00ED5729"/>
    <w:rsid w:val="00EE1ADB"/>
    <w:rsid w:val="00EE2DE5"/>
    <w:rsid w:val="00EF32C1"/>
    <w:rsid w:val="00EF6947"/>
    <w:rsid w:val="00F0177F"/>
    <w:rsid w:val="00F01FAB"/>
    <w:rsid w:val="00F047AF"/>
    <w:rsid w:val="00F048E7"/>
    <w:rsid w:val="00F0620A"/>
    <w:rsid w:val="00F0624C"/>
    <w:rsid w:val="00F0692B"/>
    <w:rsid w:val="00F06D33"/>
    <w:rsid w:val="00F06E76"/>
    <w:rsid w:val="00F15EF7"/>
    <w:rsid w:val="00F17BBD"/>
    <w:rsid w:val="00F218D4"/>
    <w:rsid w:val="00F223B0"/>
    <w:rsid w:val="00F32EA8"/>
    <w:rsid w:val="00F41822"/>
    <w:rsid w:val="00F46D7B"/>
    <w:rsid w:val="00F502A1"/>
    <w:rsid w:val="00F51F08"/>
    <w:rsid w:val="00F52C8F"/>
    <w:rsid w:val="00F57E37"/>
    <w:rsid w:val="00F62940"/>
    <w:rsid w:val="00F72C9B"/>
    <w:rsid w:val="00F83D2F"/>
    <w:rsid w:val="00F83F49"/>
    <w:rsid w:val="00F96D16"/>
    <w:rsid w:val="00FB53F8"/>
    <w:rsid w:val="00FB710D"/>
    <w:rsid w:val="00FC26D9"/>
    <w:rsid w:val="00FC54BD"/>
    <w:rsid w:val="00FC6791"/>
    <w:rsid w:val="00FC743D"/>
    <w:rsid w:val="00FD1D5C"/>
    <w:rsid w:val="00FD1EB7"/>
    <w:rsid w:val="00FE2733"/>
    <w:rsid w:val="00FF3011"/>
    <w:rsid w:val="00FF4A54"/>
    <w:rsid w:val="04EB4710"/>
    <w:rsid w:val="07FB1D10"/>
    <w:rsid w:val="0CEE19BD"/>
    <w:rsid w:val="0E206DB2"/>
    <w:rsid w:val="0E5607AA"/>
    <w:rsid w:val="0EF669FF"/>
    <w:rsid w:val="11C01114"/>
    <w:rsid w:val="11FC39D9"/>
    <w:rsid w:val="123E4D95"/>
    <w:rsid w:val="132358E1"/>
    <w:rsid w:val="149F4C63"/>
    <w:rsid w:val="150F5366"/>
    <w:rsid w:val="15601B68"/>
    <w:rsid w:val="162A13E2"/>
    <w:rsid w:val="162A2C19"/>
    <w:rsid w:val="17D47D20"/>
    <w:rsid w:val="184E161F"/>
    <w:rsid w:val="185020B7"/>
    <w:rsid w:val="1A4928D5"/>
    <w:rsid w:val="1BBA641D"/>
    <w:rsid w:val="1EA92C04"/>
    <w:rsid w:val="1F8D7E18"/>
    <w:rsid w:val="1FC3662C"/>
    <w:rsid w:val="1FC410BD"/>
    <w:rsid w:val="20980C3F"/>
    <w:rsid w:val="20C23CFA"/>
    <w:rsid w:val="24046423"/>
    <w:rsid w:val="273B2A92"/>
    <w:rsid w:val="27E807D2"/>
    <w:rsid w:val="28AF00ED"/>
    <w:rsid w:val="292A7139"/>
    <w:rsid w:val="29640D6B"/>
    <w:rsid w:val="2AF24A60"/>
    <w:rsid w:val="2BE066EF"/>
    <w:rsid w:val="2CC35360"/>
    <w:rsid w:val="2E922438"/>
    <w:rsid w:val="30DA5579"/>
    <w:rsid w:val="326E54B0"/>
    <w:rsid w:val="33D32AD3"/>
    <w:rsid w:val="340B4702"/>
    <w:rsid w:val="352E75E5"/>
    <w:rsid w:val="362669F9"/>
    <w:rsid w:val="3737779A"/>
    <w:rsid w:val="39F20260"/>
    <w:rsid w:val="3B09446C"/>
    <w:rsid w:val="3B5E5FBE"/>
    <w:rsid w:val="3B720853"/>
    <w:rsid w:val="3BE87FE6"/>
    <w:rsid w:val="3D177C65"/>
    <w:rsid w:val="3D3E7B94"/>
    <w:rsid w:val="3DB7477A"/>
    <w:rsid w:val="3E184486"/>
    <w:rsid w:val="3E1F57C7"/>
    <w:rsid w:val="401F6101"/>
    <w:rsid w:val="4141628F"/>
    <w:rsid w:val="423A7185"/>
    <w:rsid w:val="43F8583E"/>
    <w:rsid w:val="45042C64"/>
    <w:rsid w:val="45711038"/>
    <w:rsid w:val="465B3E11"/>
    <w:rsid w:val="46D313DA"/>
    <w:rsid w:val="476837BF"/>
    <w:rsid w:val="47C33621"/>
    <w:rsid w:val="47EA1E76"/>
    <w:rsid w:val="48B40046"/>
    <w:rsid w:val="493C0A00"/>
    <w:rsid w:val="49574903"/>
    <w:rsid w:val="49676A00"/>
    <w:rsid w:val="4AE858D8"/>
    <w:rsid w:val="4B4F2B3B"/>
    <w:rsid w:val="4BE0050C"/>
    <w:rsid w:val="4D175F98"/>
    <w:rsid w:val="4E0A4EB1"/>
    <w:rsid w:val="4E7A2BB2"/>
    <w:rsid w:val="4EDB65A0"/>
    <w:rsid w:val="4F89131D"/>
    <w:rsid w:val="4FD660A6"/>
    <w:rsid w:val="5188397C"/>
    <w:rsid w:val="52885C04"/>
    <w:rsid w:val="53B80D71"/>
    <w:rsid w:val="53B810F5"/>
    <w:rsid w:val="54EB7DC2"/>
    <w:rsid w:val="56093400"/>
    <w:rsid w:val="568C0C00"/>
    <w:rsid w:val="57071939"/>
    <w:rsid w:val="57AE3BB6"/>
    <w:rsid w:val="58050B3C"/>
    <w:rsid w:val="58386A24"/>
    <w:rsid w:val="59F83A6D"/>
    <w:rsid w:val="5AB205D7"/>
    <w:rsid w:val="5BF84522"/>
    <w:rsid w:val="5BFF1741"/>
    <w:rsid w:val="5C2F3A5A"/>
    <w:rsid w:val="5D94310E"/>
    <w:rsid w:val="619D4825"/>
    <w:rsid w:val="63291EDA"/>
    <w:rsid w:val="63EC5EBC"/>
    <w:rsid w:val="65F04A50"/>
    <w:rsid w:val="67D852BF"/>
    <w:rsid w:val="697457CB"/>
    <w:rsid w:val="6A3013B4"/>
    <w:rsid w:val="6B4652C2"/>
    <w:rsid w:val="6B8B50E3"/>
    <w:rsid w:val="6CDB7B64"/>
    <w:rsid w:val="6D98710C"/>
    <w:rsid w:val="6E3624A8"/>
    <w:rsid w:val="6EAC387C"/>
    <w:rsid w:val="7143629C"/>
    <w:rsid w:val="73013DE0"/>
    <w:rsid w:val="738350BD"/>
    <w:rsid w:val="73E15771"/>
    <w:rsid w:val="73E904EB"/>
    <w:rsid w:val="749F19ED"/>
    <w:rsid w:val="760B33FE"/>
    <w:rsid w:val="778F1054"/>
    <w:rsid w:val="78617B34"/>
    <w:rsid w:val="79253894"/>
    <w:rsid w:val="79694087"/>
    <w:rsid w:val="7A0F24D8"/>
    <w:rsid w:val="7A6E01E1"/>
    <w:rsid w:val="7A9441F8"/>
    <w:rsid w:val="7C8F2455"/>
    <w:rsid w:val="7E1613D8"/>
    <w:rsid w:val="7F4A04B0"/>
    <w:rsid w:val="7F704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name="table of authorities"/>
    <w:lsdException w:uiPriority="0" w:name="macro"/>
    <w:lsdException w:uiPriority="0" w:name="toa heading"/>
    <w:lsdException w:unhideWhenUsed="0" w:uiPriority="0" w:name="List"/>
    <w:lsdException w:unhideWhenUsed="0"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beforeLines="50" w:after="120" w:afterLines="50" w:line="360" w:lineRule="auto"/>
      <w:ind w:firstLine="480" w:firstLineChars="200"/>
    </w:pPr>
    <w:rPr>
      <w:rFonts w:eastAsia="楷体" w:asciiTheme="minorHAnsi" w:hAnsiTheme="minorHAnsi" w:cstheme="minorBidi"/>
      <w:kern w:val="2"/>
      <w:sz w:val="24"/>
      <w:szCs w:val="22"/>
      <w:lang w:val="en-US" w:eastAsia="zh-CN" w:bidi="ar-SA"/>
    </w:rPr>
  </w:style>
  <w:style w:type="paragraph" w:styleId="2">
    <w:name w:val="heading 1"/>
    <w:basedOn w:val="3"/>
    <w:next w:val="1"/>
    <w:link w:val="56"/>
    <w:qFormat/>
    <w:uiPriority w:val="9"/>
    <w:pPr>
      <w:tabs>
        <w:tab w:val="right" w:leader="dot" w:pos="8980"/>
      </w:tabs>
      <w:spacing w:before="200" w:beforeLines="200" w:after="200" w:afterLines="200" w:line="480" w:lineRule="auto"/>
      <w:ind w:left="59" w:leftChars="59" w:firstLine="0" w:firstLineChars="0"/>
      <w:jc w:val="center"/>
      <w:outlineLvl w:val="0"/>
    </w:pPr>
    <w:rPr>
      <w:rFonts w:eastAsia="黑体"/>
      <w:b/>
      <w:sz w:val="44"/>
      <w:szCs w:val="24"/>
    </w:rPr>
  </w:style>
  <w:style w:type="paragraph" w:styleId="4">
    <w:name w:val="heading 2"/>
    <w:basedOn w:val="1"/>
    <w:next w:val="1"/>
    <w:unhideWhenUsed/>
    <w:qFormat/>
    <w:uiPriority w:val="9"/>
    <w:pPr>
      <w:keepNext/>
      <w:keepLines/>
      <w:spacing w:before="240" w:beforeLines="100" w:after="240" w:afterLines="100"/>
      <w:ind w:firstLine="0" w:firstLineChars="0"/>
      <w:outlineLvl w:val="1"/>
    </w:pPr>
    <w:rPr>
      <w:rFonts w:eastAsia="微软雅黑" w:asciiTheme="majorHAnsi" w:hAnsiTheme="majorHAnsi" w:cstheme="majorBidi"/>
      <w:b/>
      <w:bCs/>
      <w:color w:val="023985"/>
      <w:sz w:val="28"/>
      <w:szCs w:val="32"/>
    </w:rPr>
  </w:style>
  <w:style w:type="paragraph" w:styleId="5">
    <w:name w:val="heading 3"/>
    <w:basedOn w:val="1"/>
    <w:next w:val="1"/>
    <w:link w:val="44"/>
    <w:unhideWhenUsed/>
    <w:qFormat/>
    <w:uiPriority w:val="9"/>
    <w:pPr>
      <w:keepNext/>
      <w:keepLines/>
      <w:ind w:firstLine="0" w:firstLineChars="0"/>
      <w:outlineLvl w:val="2"/>
    </w:pPr>
    <w:rPr>
      <w:rFonts w:eastAsia="微软雅黑"/>
      <w:b/>
      <w:bCs/>
      <w:color w:val="023985"/>
      <w:sz w:val="28"/>
      <w:szCs w:val="32"/>
    </w:rPr>
  </w:style>
  <w:style w:type="paragraph" w:styleId="6">
    <w:name w:val="heading 4"/>
    <w:basedOn w:val="1"/>
    <w:next w:val="1"/>
    <w:link w:val="45"/>
    <w:unhideWhenUsed/>
    <w:qFormat/>
    <w:uiPriority w:val="9"/>
    <w:pPr>
      <w:keepNext/>
      <w:keepLines/>
      <w:autoSpaceDE w:val="0"/>
      <w:autoSpaceDN w:val="0"/>
      <w:ind w:firstLine="0" w:firstLineChars="0"/>
      <w:outlineLvl w:val="3"/>
    </w:pPr>
    <w:rPr>
      <w:rFonts w:asciiTheme="majorHAnsi" w:hAnsiTheme="majorHAnsi" w:cstheme="majorBidi"/>
      <w:b/>
      <w:bCs/>
      <w:color w:val="023985"/>
      <w:kern w:val="0"/>
      <w:sz w:val="28"/>
      <w:szCs w:val="28"/>
      <w:lang w:val="zh-CN" w:bidi="zh-CN"/>
    </w:rPr>
  </w:style>
  <w:style w:type="paragraph" w:styleId="7">
    <w:name w:val="heading 5"/>
    <w:basedOn w:val="1"/>
    <w:next w:val="1"/>
    <w:link w:val="47"/>
    <w:unhideWhenUsed/>
    <w:qFormat/>
    <w:uiPriority w:val="9"/>
    <w:pPr>
      <w:keepNext/>
      <w:keepLines/>
      <w:ind w:firstLine="0" w:firstLineChars="0"/>
      <w:jc w:val="center"/>
      <w:outlineLvl w:val="4"/>
    </w:pPr>
    <w:rPr>
      <w:rFonts w:eastAsia="黑体"/>
      <w:b/>
      <w:bCs/>
      <w:szCs w:val="28"/>
    </w:rPr>
  </w:style>
  <w:style w:type="paragraph" w:styleId="8">
    <w:name w:val="heading 6"/>
    <w:basedOn w:val="1"/>
    <w:next w:val="1"/>
    <w:link w:val="48"/>
    <w:unhideWhenUsed/>
    <w:qFormat/>
    <w:uiPriority w:val="9"/>
    <w:pPr>
      <w:jc w:val="center"/>
      <w:outlineLvl w:val="5"/>
    </w:pPr>
    <w:rPr>
      <w:rFonts w:eastAsia="黑体"/>
      <w:b/>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3">
    <w:name w:val="toc 2"/>
    <w:basedOn w:val="1"/>
    <w:next w:val="1"/>
    <w:unhideWhenUsed/>
    <w:qFormat/>
    <w:uiPriority w:val="39"/>
    <w:pPr>
      <w:spacing w:before="0" w:after="0"/>
      <w:ind w:left="240"/>
    </w:pPr>
    <w:rPr>
      <w:rFonts w:cstheme="minorHAnsi"/>
      <w:smallCaps/>
      <w:sz w:val="20"/>
      <w:szCs w:val="20"/>
    </w:rPr>
  </w:style>
  <w:style w:type="paragraph" w:styleId="9">
    <w:name w:val="toc 7"/>
    <w:basedOn w:val="1"/>
    <w:next w:val="1"/>
    <w:link w:val="55"/>
    <w:unhideWhenUsed/>
    <w:qFormat/>
    <w:uiPriority w:val="0"/>
    <w:pPr>
      <w:spacing w:before="0" w:after="0"/>
      <w:ind w:left="1440"/>
    </w:pPr>
    <w:rPr>
      <w:rFonts w:cstheme="minorHAnsi"/>
      <w:sz w:val="18"/>
      <w:szCs w:val="18"/>
    </w:rPr>
  </w:style>
  <w:style w:type="paragraph" w:styleId="10">
    <w:name w:val="annotation text"/>
    <w:basedOn w:val="1"/>
    <w:link w:val="37"/>
    <w:unhideWhenUsed/>
    <w:qFormat/>
    <w:uiPriority w:val="99"/>
    <w:rPr>
      <w:sz w:val="21"/>
    </w:rPr>
  </w:style>
  <w:style w:type="paragraph" w:styleId="11">
    <w:name w:val="Body Text"/>
    <w:basedOn w:val="1"/>
    <w:qFormat/>
    <w:uiPriority w:val="1"/>
    <w:pPr>
      <w:spacing w:before="213"/>
      <w:ind w:left="960" w:hanging="420"/>
    </w:pPr>
    <w:rPr>
      <w:szCs w:val="24"/>
    </w:rPr>
  </w:style>
  <w:style w:type="paragraph" w:styleId="12">
    <w:name w:val="toc 5"/>
    <w:basedOn w:val="1"/>
    <w:next w:val="1"/>
    <w:link w:val="54"/>
    <w:unhideWhenUsed/>
    <w:qFormat/>
    <w:uiPriority w:val="39"/>
    <w:pPr>
      <w:tabs>
        <w:tab w:val="right" w:leader="dot" w:pos="8980"/>
      </w:tabs>
      <w:ind w:left="567" w:firstLine="425" w:firstLineChars="236"/>
    </w:pPr>
    <w:rPr>
      <w:rFonts w:cstheme="minorHAnsi"/>
      <w:sz w:val="18"/>
      <w:szCs w:val="18"/>
    </w:rPr>
  </w:style>
  <w:style w:type="paragraph" w:styleId="13">
    <w:name w:val="toc 3"/>
    <w:basedOn w:val="1"/>
    <w:next w:val="1"/>
    <w:link w:val="53"/>
    <w:unhideWhenUsed/>
    <w:qFormat/>
    <w:uiPriority w:val="39"/>
    <w:pPr>
      <w:spacing w:before="0" w:after="0"/>
      <w:ind w:left="480"/>
    </w:pPr>
    <w:rPr>
      <w:rFonts w:cstheme="minorHAnsi"/>
      <w:i/>
      <w:iCs/>
      <w:sz w:val="20"/>
      <w:szCs w:val="20"/>
    </w:rPr>
  </w:style>
  <w:style w:type="paragraph" w:styleId="14">
    <w:name w:val="toc 8"/>
    <w:basedOn w:val="1"/>
    <w:next w:val="1"/>
    <w:link w:val="52"/>
    <w:unhideWhenUsed/>
    <w:qFormat/>
    <w:uiPriority w:val="0"/>
    <w:pPr>
      <w:spacing w:before="0" w:after="0"/>
      <w:ind w:left="1680"/>
    </w:pPr>
    <w:rPr>
      <w:rFonts w:cstheme="minorHAnsi"/>
      <w:sz w:val="18"/>
      <w:szCs w:val="18"/>
    </w:rPr>
  </w:style>
  <w:style w:type="paragraph" w:styleId="15">
    <w:name w:val="Balloon Text"/>
    <w:basedOn w:val="1"/>
    <w:link w:val="38"/>
    <w:qFormat/>
    <w:uiPriority w:val="0"/>
    <w:rPr>
      <w:sz w:val="18"/>
      <w:szCs w:val="18"/>
    </w:rPr>
  </w:style>
  <w:style w:type="paragraph" w:styleId="16">
    <w:name w:val="footer"/>
    <w:basedOn w:val="1"/>
    <w:link w:val="36"/>
    <w:qFormat/>
    <w:uiPriority w:val="99"/>
    <w:pPr>
      <w:tabs>
        <w:tab w:val="center" w:pos="4153"/>
        <w:tab w:val="right" w:pos="8306"/>
      </w:tabs>
      <w:snapToGrid w:val="0"/>
    </w:pPr>
    <w:rPr>
      <w:sz w:val="18"/>
      <w:szCs w:val="18"/>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980"/>
      </w:tabs>
      <w:ind w:firstLine="0" w:firstLineChars="0"/>
    </w:pPr>
    <w:rPr>
      <w:rFonts w:ascii="宋体" w:hAnsi="宋体" w:eastAsia="宋体" w:cstheme="minorHAnsi"/>
      <w:caps/>
      <w:szCs w:val="24"/>
    </w:rPr>
  </w:style>
  <w:style w:type="paragraph" w:styleId="19">
    <w:name w:val="toc 4"/>
    <w:basedOn w:val="1"/>
    <w:next w:val="1"/>
    <w:unhideWhenUsed/>
    <w:qFormat/>
    <w:uiPriority w:val="39"/>
    <w:pPr>
      <w:spacing w:before="0" w:after="0"/>
      <w:ind w:left="720"/>
    </w:pPr>
    <w:rPr>
      <w:rFonts w:cstheme="minorHAnsi"/>
      <w:sz w:val="18"/>
      <w:szCs w:val="18"/>
    </w:rPr>
  </w:style>
  <w:style w:type="paragraph" w:styleId="20">
    <w:name w:val="toc 6"/>
    <w:basedOn w:val="1"/>
    <w:next w:val="1"/>
    <w:unhideWhenUsed/>
    <w:qFormat/>
    <w:uiPriority w:val="0"/>
    <w:pPr>
      <w:spacing w:before="0" w:after="0"/>
      <w:ind w:left="1200"/>
    </w:pPr>
    <w:rPr>
      <w:rFonts w:cstheme="minorHAnsi"/>
      <w:sz w:val="18"/>
      <w:szCs w:val="18"/>
    </w:rPr>
  </w:style>
  <w:style w:type="paragraph" w:styleId="21">
    <w:name w:val="toc 9"/>
    <w:basedOn w:val="1"/>
    <w:next w:val="1"/>
    <w:unhideWhenUsed/>
    <w:qFormat/>
    <w:uiPriority w:val="0"/>
    <w:pPr>
      <w:spacing w:before="0" w:after="0"/>
      <w:ind w:left="1920"/>
    </w:pPr>
    <w:rPr>
      <w:rFonts w:cstheme="minorHAnsi"/>
      <w:sz w:val="18"/>
      <w:szCs w:val="18"/>
    </w:rPr>
  </w:style>
  <w:style w:type="paragraph" w:styleId="22">
    <w:name w:val="Normal (Web)"/>
    <w:basedOn w:val="1"/>
    <w:unhideWhenUsed/>
    <w:qFormat/>
    <w:uiPriority w:val="99"/>
    <w:pPr>
      <w:widowControl/>
      <w:spacing w:before="100" w:beforeAutospacing="1" w:after="100" w:afterAutospacing="1"/>
    </w:pPr>
    <w:rPr>
      <w:rFonts w:ascii="宋体" w:hAnsi="宋体" w:eastAsia="宋体" w:cs="宋体"/>
      <w:szCs w:val="24"/>
    </w:rPr>
  </w:style>
  <w:style w:type="paragraph" w:styleId="23">
    <w:name w:val="Title"/>
    <w:basedOn w:val="1"/>
    <w:next w:val="1"/>
    <w:link w:val="46"/>
    <w:qFormat/>
    <w:uiPriority w:val="10"/>
    <w:pPr>
      <w:spacing w:before="240" w:after="60"/>
      <w:ind w:firstLine="0" w:firstLineChars="0"/>
      <w:outlineLvl w:val="0"/>
    </w:pPr>
    <w:rPr>
      <w:rFonts w:asciiTheme="majorHAnsi" w:hAnsiTheme="majorHAnsi" w:eastAsiaTheme="majorEastAsia" w:cstheme="majorBidi"/>
      <w:bCs/>
      <w:sz w:val="28"/>
      <w:szCs w:val="32"/>
    </w:rPr>
  </w:style>
  <w:style w:type="paragraph" w:styleId="24">
    <w:name w:val="annotation subject"/>
    <w:basedOn w:val="10"/>
    <w:next w:val="10"/>
    <w:link w:val="51"/>
    <w:semiHidden/>
    <w:unhideWhenUsed/>
    <w:qFormat/>
    <w:uiPriority w:val="0"/>
    <w:rPr>
      <w:b/>
      <w:bCs/>
      <w:sz w:val="24"/>
    </w:rPr>
  </w:style>
  <w:style w:type="table" w:styleId="26">
    <w:name w:val="Table Grid"/>
    <w:basedOn w:val="25"/>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basedOn w:val="27"/>
    <w:unhideWhenUsed/>
    <w:qFormat/>
    <w:uiPriority w:val="99"/>
    <w:rPr>
      <w:sz w:val="21"/>
      <w:szCs w:val="21"/>
    </w:rPr>
  </w:style>
  <w:style w:type="table" w:customStyle="1" w:styleId="32">
    <w:name w:val="Table Normal"/>
    <w:semiHidden/>
    <w:unhideWhenUsed/>
    <w:qFormat/>
    <w:uiPriority w:val="2"/>
    <w:tblPr>
      <w:tblCellMar>
        <w:top w:w="0" w:type="dxa"/>
        <w:left w:w="0" w:type="dxa"/>
        <w:bottom w:w="0" w:type="dxa"/>
        <w:right w:w="0" w:type="dxa"/>
      </w:tblCellMar>
    </w:tblPr>
  </w:style>
  <w:style w:type="paragraph" w:styleId="33">
    <w:name w:val="List Paragraph"/>
    <w:basedOn w:val="1"/>
    <w:qFormat/>
    <w:uiPriority w:val="34"/>
    <w:pPr>
      <w:ind w:firstLine="420"/>
    </w:pPr>
  </w:style>
  <w:style w:type="paragraph" w:customStyle="1" w:styleId="34">
    <w:name w:val="Table Paragraph"/>
    <w:basedOn w:val="1"/>
    <w:qFormat/>
    <w:uiPriority w:val="1"/>
  </w:style>
  <w:style w:type="character" w:customStyle="1" w:styleId="35">
    <w:name w:val="页眉 字符"/>
    <w:basedOn w:val="27"/>
    <w:link w:val="17"/>
    <w:qFormat/>
    <w:uiPriority w:val="0"/>
    <w:rPr>
      <w:rFonts w:ascii="仿宋" w:hAnsi="仿宋" w:eastAsia="仿宋" w:cs="仿宋"/>
      <w:sz w:val="18"/>
      <w:szCs w:val="18"/>
      <w:lang w:val="zh-CN" w:bidi="zh-CN"/>
    </w:rPr>
  </w:style>
  <w:style w:type="character" w:customStyle="1" w:styleId="36">
    <w:name w:val="页脚 字符"/>
    <w:basedOn w:val="27"/>
    <w:link w:val="16"/>
    <w:qFormat/>
    <w:uiPriority w:val="99"/>
    <w:rPr>
      <w:rFonts w:ascii="仿宋" w:hAnsi="仿宋" w:eastAsia="仿宋" w:cs="仿宋"/>
      <w:sz w:val="18"/>
      <w:szCs w:val="18"/>
      <w:lang w:val="zh-CN" w:bidi="zh-CN"/>
    </w:rPr>
  </w:style>
  <w:style w:type="character" w:customStyle="1" w:styleId="37">
    <w:name w:val="批注文字 字符"/>
    <w:basedOn w:val="27"/>
    <w:link w:val="10"/>
    <w:qFormat/>
    <w:uiPriority w:val="99"/>
    <w:rPr>
      <w:rFonts w:asciiTheme="minorHAnsi" w:hAnsiTheme="minorHAnsi" w:eastAsiaTheme="minorEastAsia" w:cstheme="minorBidi"/>
      <w:kern w:val="2"/>
      <w:sz w:val="21"/>
      <w:szCs w:val="22"/>
    </w:rPr>
  </w:style>
  <w:style w:type="character" w:customStyle="1" w:styleId="38">
    <w:name w:val="批注框文本 字符"/>
    <w:basedOn w:val="27"/>
    <w:link w:val="15"/>
    <w:qFormat/>
    <w:uiPriority w:val="0"/>
    <w:rPr>
      <w:rFonts w:ascii="仿宋" w:hAnsi="仿宋" w:eastAsia="仿宋" w:cs="仿宋"/>
      <w:sz w:val="18"/>
      <w:szCs w:val="18"/>
      <w:lang w:val="zh-CN" w:bidi="zh-CN"/>
    </w:rPr>
  </w:style>
  <w:style w:type="paragraph" w:customStyle="1" w:styleId="39">
    <w:name w:val="TOC 标题1"/>
    <w:basedOn w:val="2"/>
    <w:next w:val="1"/>
    <w:link w:val="57"/>
    <w:unhideWhenUsed/>
    <w:qFormat/>
    <w:uiPriority w:val="39"/>
    <w:pPr>
      <w:spacing w:before="340" w:beforeLines="50" w:after="330" w:line="578" w:lineRule="auto"/>
      <w:ind w:firstLine="480" w:firstLineChars="200"/>
      <w:jc w:val="left"/>
      <w:outlineLvl w:val="9"/>
    </w:pPr>
  </w:style>
  <w:style w:type="paragraph" w:customStyle="1" w:styleId="40">
    <w:name w:val="列出段落1"/>
    <w:basedOn w:val="1"/>
    <w:qFormat/>
    <w:uiPriority w:val="34"/>
    <w:pPr>
      <w:autoSpaceDE w:val="0"/>
      <w:autoSpaceDN w:val="0"/>
      <w:spacing w:before="213" w:line="240" w:lineRule="auto"/>
      <w:ind w:left="960" w:right="349" w:hanging="420" w:firstLineChars="0"/>
    </w:pPr>
    <w:rPr>
      <w:rFonts w:ascii="仿宋" w:hAnsi="仿宋" w:eastAsia="仿宋" w:cs="仿宋"/>
      <w:kern w:val="0"/>
      <w:sz w:val="22"/>
      <w:lang w:val="zh-CN" w:bidi="zh-CN"/>
    </w:rPr>
  </w:style>
  <w:style w:type="paragraph" w:customStyle="1" w:styleId="41">
    <w:name w:val="表格文本"/>
    <w:basedOn w:val="1"/>
    <w:link w:val="42"/>
    <w:qFormat/>
    <w:uiPriority w:val="0"/>
    <w:pPr>
      <w:ind w:firstLine="0" w:firstLineChars="0"/>
    </w:pPr>
  </w:style>
  <w:style w:type="character" w:customStyle="1" w:styleId="42">
    <w:name w:val="表格文本 字符"/>
    <w:basedOn w:val="27"/>
    <w:link w:val="41"/>
    <w:qFormat/>
    <w:uiPriority w:val="1"/>
    <w:rPr>
      <w:kern w:val="2"/>
      <w:sz w:val="24"/>
      <w:szCs w:val="22"/>
    </w:rPr>
  </w:style>
  <w:style w:type="paragraph" w:customStyle="1" w:styleId="43">
    <w:name w:val="TOC 标题11"/>
    <w:basedOn w:val="2"/>
    <w:next w:val="1"/>
    <w:semiHidden/>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color w:val="376092" w:themeColor="accent1" w:themeShade="BF"/>
      <w:kern w:val="0"/>
      <w:sz w:val="32"/>
      <w:szCs w:val="32"/>
    </w:rPr>
  </w:style>
  <w:style w:type="character" w:customStyle="1" w:styleId="44">
    <w:name w:val="标题 3 字符"/>
    <w:basedOn w:val="27"/>
    <w:link w:val="5"/>
    <w:qFormat/>
    <w:uiPriority w:val="9"/>
    <w:rPr>
      <w:rFonts w:eastAsia="微软雅黑" w:asciiTheme="minorHAnsi" w:hAnsiTheme="minorHAnsi" w:cstheme="minorBidi"/>
      <w:b/>
      <w:bCs/>
      <w:color w:val="023985"/>
      <w:kern w:val="2"/>
      <w:sz w:val="28"/>
      <w:szCs w:val="32"/>
    </w:rPr>
  </w:style>
  <w:style w:type="character" w:customStyle="1" w:styleId="45">
    <w:name w:val="标题 4 字符"/>
    <w:basedOn w:val="27"/>
    <w:link w:val="6"/>
    <w:qFormat/>
    <w:uiPriority w:val="9"/>
    <w:rPr>
      <w:rFonts w:eastAsia="楷体" w:asciiTheme="majorHAnsi" w:hAnsiTheme="majorHAnsi" w:cstheme="majorBidi"/>
      <w:b/>
      <w:bCs/>
      <w:color w:val="023985"/>
      <w:sz w:val="28"/>
      <w:szCs w:val="28"/>
      <w:lang w:val="zh-CN" w:bidi="zh-CN"/>
    </w:rPr>
  </w:style>
  <w:style w:type="character" w:customStyle="1" w:styleId="46">
    <w:name w:val="标题 字符"/>
    <w:basedOn w:val="27"/>
    <w:link w:val="23"/>
    <w:qFormat/>
    <w:uiPriority w:val="10"/>
    <w:rPr>
      <w:rFonts w:asciiTheme="majorHAnsi" w:hAnsiTheme="majorHAnsi" w:eastAsiaTheme="majorEastAsia" w:cstheme="majorBidi"/>
      <w:bCs/>
      <w:kern w:val="2"/>
      <w:sz w:val="28"/>
      <w:szCs w:val="32"/>
    </w:rPr>
  </w:style>
  <w:style w:type="character" w:customStyle="1" w:styleId="47">
    <w:name w:val="标题 5 字符"/>
    <w:basedOn w:val="27"/>
    <w:link w:val="7"/>
    <w:qFormat/>
    <w:uiPriority w:val="9"/>
    <w:rPr>
      <w:rFonts w:eastAsia="黑体"/>
      <w:b/>
      <w:bCs/>
      <w:kern w:val="2"/>
      <w:sz w:val="24"/>
      <w:szCs w:val="28"/>
    </w:rPr>
  </w:style>
  <w:style w:type="character" w:customStyle="1" w:styleId="48">
    <w:name w:val="标题 6 字符"/>
    <w:basedOn w:val="27"/>
    <w:link w:val="8"/>
    <w:qFormat/>
    <w:uiPriority w:val="9"/>
    <w:rPr>
      <w:rFonts w:eastAsia="黑体"/>
      <w:b/>
      <w:kern w:val="2"/>
      <w:sz w:val="24"/>
      <w:szCs w:val="22"/>
    </w:rPr>
  </w:style>
  <w:style w:type="character" w:customStyle="1" w:styleId="49">
    <w:name w:val="不明显强调1"/>
    <w:basedOn w:val="27"/>
    <w:qFormat/>
    <w:uiPriority w:val="19"/>
    <w:rPr>
      <w:rFonts w:eastAsia="仿宋_GB2312"/>
      <w:i/>
      <w:iCs/>
      <w:color w:val="404040" w:themeColor="text1" w:themeTint="BF"/>
      <w:sz w:val="21"/>
      <w14:textFill>
        <w14:solidFill>
          <w14:schemeClr w14:val="tx1">
            <w14:lumMod w14:val="75000"/>
            <w14:lumOff w14:val="25000"/>
          </w14:schemeClr>
        </w14:solidFill>
      </w14:textFill>
    </w:rPr>
  </w:style>
  <w:style w:type="character" w:customStyle="1" w:styleId="50">
    <w:name w:val="Unresolved Mention"/>
    <w:basedOn w:val="27"/>
    <w:semiHidden/>
    <w:unhideWhenUsed/>
    <w:qFormat/>
    <w:uiPriority w:val="99"/>
    <w:rPr>
      <w:color w:val="605E5C"/>
      <w:shd w:val="clear" w:color="auto" w:fill="E1DFDD"/>
    </w:rPr>
  </w:style>
  <w:style w:type="character" w:customStyle="1" w:styleId="51">
    <w:name w:val="批注主题 字符"/>
    <w:basedOn w:val="37"/>
    <w:link w:val="24"/>
    <w:semiHidden/>
    <w:qFormat/>
    <w:uiPriority w:val="0"/>
    <w:rPr>
      <w:rFonts w:asciiTheme="minorHAnsi" w:hAnsiTheme="minorHAnsi" w:eastAsiaTheme="minorEastAsia" w:cstheme="minorBidi"/>
      <w:b/>
      <w:bCs/>
      <w:kern w:val="2"/>
      <w:sz w:val="24"/>
      <w:szCs w:val="22"/>
    </w:rPr>
  </w:style>
  <w:style w:type="character" w:customStyle="1" w:styleId="52">
    <w:name w:val="目录 8 字符"/>
    <w:link w:val="14"/>
    <w:qFormat/>
    <w:uiPriority w:val="0"/>
    <w:rPr>
      <w:rFonts w:cstheme="minorHAnsi"/>
      <w:sz w:val="18"/>
      <w:szCs w:val="18"/>
    </w:rPr>
  </w:style>
  <w:style w:type="character" w:customStyle="1" w:styleId="53">
    <w:name w:val="目录 3 字符"/>
    <w:link w:val="13"/>
    <w:qFormat/>
    <w:uiPriority w:val="39"/>
    <w:rPr>
      <w:rFonts w:cstheme="minorHAnsi"/>
      <w:i/>
      <w:iCs/>
      <w:sz w:val="20"/>
      <w:szCs w:val="20"/>
    </w:rPr>
  </w:style>
  <w:style w:type="character" w:customStyle="1" w:styleId="54">
    <w:name w:val="目录 5 字符"/>
    <w:link w:val="12"/>
    <w:qFormat/>
    <w:uiPriority w:val="39"/>
    <w:rPr>
      <w:rFonts w:cstheme="minorHAnsi"/>
      <w:sz w:val="18"/>
      <w:szCs w:val="18"/>
    </w:rPr>
  </w:style>
  <w:style w:type="character" w:customStyle="1" w:styleId="55">
    <w:name w:val="目录 7 字符"/>
    <w:link w:val="9"/>
    <w:qFormat/>
    <w:uiPriority w:val="0"/>
    <w:rPr>
      <w:rFonts w:cstheme="minorHAnsi"/>
      <w:sz w:val="18"/>
      <w:szCs w:val="18"/>
    </w:rPr>
  </w:style>
  <w:style w:type="character" w:customStyle="1" w:styleId="56">
    <w:name w:val="标题 1 字符"/>
    <w:link w:val="2"/>
    <w:qFormat/>
    <w:uiPriority w:val="9"/>
    <w:rPr>
      <w:rFonts w:eastAsia="黑体"/>
      <w:b/>
      <w:sz w:val="44"/>
      <w:szCs w:val="24"/>
    </w:rPr>
  </w:style>
  <w:style w:type="character" w:customStyle="1" w:styleId="57">
    <w:name w:val="TOC Heading Char"/>
    <w:link w:val="39"/>
    <w:qFormat/>
    <w:uiPriority w:val="39"/>
  </w:style>
  <w:style w:type="character" w:customStyle="1" w:styleId="58">
    <w:name w:val="markedcontent"/>
    <w:basedOn w:val="27"/>
    <w:qFormat/>
    <w:uiPriority w:val="0"/>
  </w:style>
  <w:style w:type="paragraph" w:styleId="59">
    <w:name w:val="No Spacing"/>
    <w:qFormat/>
    <w:uiPriority w:val="1"/>
    <w:pPr>
      <w:spacing w:line="300" w:lineRule="auto"/>
      <w:jc w:val="center"/>
    </w:pPr>
    <w:rPr>
      <w:rFonts w:ascii="Times New Roman" w:hAnsi="Times New Roman" w:eastAsia="楷体" w:cstheme="minorBidi"/>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customXml" Target="ink/ink1.xml"/><Relationship Id="rId15" Type="http://schemas.openxmlformats.org/officeDocument/2006/relationships/chart" Target="charts/chart1.xml"/><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chartUserShapes" Target="../drawings/drawing1.xml"/><Relationship Id="rId1" Type="http://schemas.openxmlformats.org/officeDocument/2006/relationships/oleObject" Target="file:///C:\Users\Administrator\Desktop\&#31291;&#31859;\&#31291;&#31859;&#20449;&#24687;&#36164;&#26009;\&#31291;&#31859;&#25968;&#25454;&#24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1291;&#31859;&#21608;&#26376;&#25253;\&#21608;&#25253;&#25152;&#38656;&#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31291;&#31859;&#21608;&#26376;&#25253;\&#21608;&#25253;&#25152;&#38656;&#25968;&#25454;.xlsx" TargetMode="External"/></Relationships>
</file>

<file path=word/charts/_rels/chart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oleObject" Target="file:///C:\Users\Administrator\Desktop\&#31291;&#31859;&#21608;&#26376;&#25253;\&#21608;&#25253;&#25152;&#38656;&#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28418803419"/>
          <c:y val="0.138311111111111"/>
          <c:w val="0.831664068745004"/>
          <c:h val="0.596890740740741"/>
        </c:manualLayout>
      </c:layout>
      <c:lineChart>
        <c:grouping val="standard"/>
        <c:varyColors val="0"/>
        <c:ser>
          <c:idx val="0"/>
          <c:order val="0"/>
          <c:spPr>
            <a:ln w="19050" cap="rnd" cmpd="sng" algn="ctr">
              <a:solidFill>
                <a:srgbClr val="023985"/>
              </a:solidFill>
              <a:prstDash val="solid"/>
              <a:round/>
            </a:ln>
          </c:spPr>
          <c:marker>
            <c:symbol val="none"/>
          </c:marker>
          <c:dLbls>
            <c:delete val="1"/>
          </c:dLbls>
          <c:cat>
            <c:numRef>
              <c:f>米厂开机率统计!$A$6:$A$69</c:f>
              <c:numCache>
                <c:formatCode>yyyy/m/d;@</c:formatCode>
                <c:ptCount val="64"/>
                <c:pt idx="0" c:formatCode="yyyy/m/d;@">
                  <c:v>44203</c:v>
                </c:pt>
                <c:pt idx="1" c:formatCode="yyyy/m/d;@">
                  <c:v>44210</c:v>
                </c:pt>
                <c:pt idx="2" c:formatCode="yyyy/m/d;@">
                  <c:v>44217</c:v>
                </c:pt>
                <c:pt idx="3" c:formatCode="yyyy/m/d;@">
                  <c:v>44224</c:v>
                </c:pt>
                <c:pt idx="4" c:formatCode="yyyy/m/d;@">
                  <c:v>44231</c:v>
                </c:pt>
                <c:pt idx="5" c:formatCode="yyyy/m/d;@">
                  <c:v>44237</c:v>
                </c:pt>
                <c:pt idx="6" c:formatCode="yyyy/m/d;@">
                  <c:v>44252</c:v>
                </c:pt>
                <c:pt idx="7" c:formatCode="yyyy/m/d;@">
                  <c:v>44259</c:v>
                </c:pt>
                <c:pt idx="8" c:formatCode="yyyy/m/d;@">
                  <c:v>44266</c:v>
                </c:pt>
                <c:pt idx="9" c:formatCode="yyyy/m/d;@">
                  <c:v>44273</c:v>
                </c:pt>
                <c:pt idx="10" c:formatCode="yyyy/m/d;@">
                  <c:v>44280</c:v>
                </c:pt>
                <c:pt idx="11" c:formatCode="yyyy/m/d;@">
                  <c:v>44286</c:v>
                </c:pt>
                <c:pt idx="12" c:formatCode="yyyy/m/d;@">
                  <c:v>44293</c:v>
                </c:pt>
                <c:pt idx="13" c:formatCode="yyyy/m/d;@">
                  <c:v>44300</c:v>
                </c:pt>
                <c:pt idx="14" c:formatCode="yyyy/m/d;@">
                  <c:v>44307</c:v>
                </c:pt>
                <c:pt idx="15" c:formatCode="yyyy/m/d;@">
                  <c:v>44314</c:v>
                </c:pt>
                <c:pt idx="16" c:formatCode="yyyy/m/d;@">
                  <c:v>44321</c:v>
                </c:pt>
                <c:pt idx="17" c:formatCode="yyyy/m/d;@">
                  <c:v>44329</c:v>
                </c:pt>
                <c:pt idx="18" c:formatCode="yyyy/m/d;@">
                  <c:v>44336</c:v>
                </c:pt>
                <c:pt idx="19" c:formatCode="yyyy/m/d;@">
                  <c:v>44344</c:v>
                </c:pt>
                <c:pt idx="20" c:formatCode="yyyy/m/d;@">
                  <c:v>44348</c:v>
                </c:pt>
                <c:pt idx="21" c:formatCode="yyyy/m/d;@">
                  <c:v>44350</c:v>
                </c:pt>
                <c:pt idx="22" c:formatCode="yyyy/m/d;@">
                  <c:v>44357</c:v>
                </c:pt>
                <c:pt idx="23" c:formatCode="yyyy/m/d;@">
                  <c:v>44364</c:v>
                </c:pt>
                <c:pt idx="24" c:formatCode="yyyy/m/d;@">
                  <c:v>44371</c:v>
                </c:pt>
                <c:pt idx="25" c:formatCode="yyyy/m/d;@">
                  <c:v>44377</c:v>
                </c:pt>
                <c:pt idx="26" c:formatCode="yyyy/m/d;@">
                  <c:v>44378</c:v>
                </c:pt>
                <c:pt idx="27" c:formatCode="yyyy/m/d;@">
                  <c:v>44392</c:v>
                </c:pt>
                <c:pt idx="28" c:formatCode="yyyy/m/d;@">
                  <c:v>44399</c:v>
                </c:pt>
                <c:pt idx="29" c:formatCode="yyyy/m/d;@">
                  <c:v>44406</c:v>
                </c:pt>
                <c:pt idx="30" c:formatCode="yyyy/m/d;@">
                  <c:v>44413</c:v>
                </c:pt>
                <c:pt idx="31" c:formatCode="yyyy/m/d;@">
                  <c:v>44420</c:v>
                </c:pt>
                <c:pt idx="32" c:formatCode="yyyy/m/d;@">
                  <c:v>44427</c:v>
                </c:pt>
                <c:pt idx="33" c:formatCode="yyyy/m/d;@">
                  <c:v>44434</c:v>
                </c:pt>
                <c:pt idx="34" c:formatCode="yyyy/m/d;@">
                  <c:v>44439</c:v>
                </c:pt>
                <c:pt idx="35" c:formatCode="yyyy/m/d;@">
                  <c:v>44441</c:v>
                </c:pt>
                <c:pt idx="36" c:formatCode="yyyy/m/d;@">
                  <c:v>44448</c:v>
                </c:pt>
                <c:pt idx="37" c:formatCode="yyyy/m/d;@">
                  <c:v>44455</c:v>
                </c:pt>
                <c:pt idx="38" c:formatCode="yyyy/m/d;@">
                  <c:v>44462</c:v>
                </c:pt>
                <c:pt idx="39" c:formatCode="yyyy/m/d;@">
                  <c:v>44469</c:v>
                </c:pt>
                <c:pt idx="40" c:formatCode="yyyy/m/d;@">
                  <c:v>44477</c:v>
                </c:pt>
                <c:pt idx="41" c:formatCode="yyyy/m/d;@">
                  <c:v>44483</c:v>
                </c:pt>
                <c:pt idx="42" c:formatCode="yyyy/m/d;@">
                  <c:v>44490</c:v>
                </c:pt>
                <c:pt idx="43" c:formatCode="yyyy/m/d;@">
                  <c:v>44497</c:v>
                </c:pt>
                <c:pt idx="44" c:formatCode="yyyy/m/d;@">
                  <c:v>44504</c:v>
                </c:pt>
                <c:pt idx="45" c:formatCode="yyyy/m/d;@">
                  <c:v>44511</c:v>
                </c:pt>
                <c:pt idx="46" c:formatCode="yyyy/m/d;@">
                  <c:v>44518</c:v>
                </c:pt>
                <c:pt idx="47" c:formatCode="yyyy/m/d;@">
                  <c:v>44525</c:v>
                </c:pt>
                <c:pt idx="48" c:formatCode="yyyy/m/d;@">
                  <c:v>44530</c:v>
                </c:pt>
                <c:pt idx="49" c:formatCode="yyyy/m/d;@">
                  <c:v>44532</c:v>
                </c:pt>
                <c:pt idx="50" c:formatCode="yyyy/m/d;@">
                  <c:v>44539</c:v>
                </c:pt>
                <c:pt idx="51" c:formatCode="yyyy/m/d;@">
                  <c:v>44546</c:v>
                </c:pt>
                <c:pt idx="52" c:formatCode="yyyy/m/d;@">
                  <c:v>44553</c:v>
                </c:pt>
                <c:pt idx="53" c:formatCode="yyyy/m/d;@">
                  <c:v>44560</c:v>
                </c:pt>
                <c:pt idx="54" c:formatCode="yyyy/m/d;@">
                  <c:v>44567</c:v>
                </c:pt>
                <c:pt idx="55" c:formatCode="yyyy/m/d;@">
                  <c:v>44574</c:v>
                </c:pt>
                <c:pt idx="56" c:formatCode="yyyy/m/d;@">
                  <c:v>44581</c:v>
                </c:pt>
                <c:pt idx="57" c:formatCode="yyyy/m/d;@">
                  <c:v>44588</c:v>
                </c:pt>
                <c:pt idx="58" c:formatCode="yyyy/m/d;@">
                  <c:v>44602</c:v>
                </c:pt>
                <c:pt idx="59" c:formatCode="yyyy/m/d;@">
                  <c:v>44609</c:v>
                </c:pt>
                <c:pt idx="60" c:formatCode="yyyy/m/d;@">
                  <c:v>44616</c:v>
                </c:pt>
                <c:pt idx="61" c:formatCode="yyyy/m/d;@">
                  <c:v>44620</c:v>
                </c:pt>
                <c:pt idx="62" c:formatCode="yyyy/m/d;@">
                  <c:v>44623</c:v>
                </c:pt>
                <c:pt idx="63" c:formatCode="yyyy/m/d;@">
                  <c:v>44630</c:v>
                </c:pt>
              </c:numCache>
            </c:numRef>
          </c:cat>
          <c:val>
            <c:numRef>
              <c:f>米厂开机率统计!$B$6:$B$69</c:f>
              <c:numCache>
                <c:formatCode>0.00%</c:formatCode>
                <c:ptCount val="64"/>
                <c:pt idx="0">
                  <c:v>0.3</c:v>
                </c:pt>
                <c:pt idx="1">
                  <c:v>0.35</c:v>
                </c:pt>
                <c:pt idx="2">
                  <c:v>0.37</c:v>
                </c:pt>
                <c:pt idx="3">
                  <c:v>0.35</c:v>
                </c:pt>
                <c:pt idx="4">
                  <c:v>0.272</c:v>
                </c:pt>
                <c:pt idx="5">
                  <c:v>0.09</c:v>
                </c:pt>
                <c:pt idx="6">
                  <c:v>0.13</c:v>
                </c:pt>
                <c:pt idx="7">
                  <c:v>0.15</c:v>
                </c:pt>
                <c:pt idx="8">
                  <c:v>0.17</c:v>
                </c:pt>
                <c:pt idx="9">
                  <c:v>0.16</c:v>
                </c:pt>
                <c:pt idx="10">
                  <c:v>0.16</c:v>
                </c:pt>
                <c:pt idx="11">
                  <c:v>0.16</c:v>
                </c:pt>
                <c:pt idx="12">
                  <c:v>0.16</c:v>
                </c:pt>
                <c:pt idx="13">
                  <c:v>0.18</c:v>
                </c:pt>
                <c:pt idx="14">
                  <c:v>0.18</c:v>
                </c:pt>
                <c:pt idx="15">
                  <c:v>0.18</c:v>
                </c:pt>
                <c:pt idx="16">
                  <c:v>0.19</c:v>
                </c:pt>
                <c:pt idx="17">
                  <c:v>0.2</c:v>
                </c:pt>
                <c:pt idx="18">
                  <c:v>0.2</c:v>
                </c:pt>
                <c:pt idx="19">
                  <c:v>0.195</c:v>
                </c:pt>
                <c:pt idx="20">
                  <c:v>0.19</c:v>
                </c:pt>
                <c:pt idx="21">
                  <c:v>0.19</c:v>
                </c:pt>
                <c:pt idx="22">
                  <c:v>0.19</c:v>
                </c:pt>
                <c:pt idx="23">
                  <c:v>0.19</c:v>
                </c:pt>
                <c:pt idx="24">
                  <c:v>0.18</c:v>
                </c:pt>
                <c:pt idx="25">
                  <c:v>0.16</c:v>
                </c:pt>
                <c:pt idx="26">
                  <c:v>0.16</c:v>
                </c:pt>
                <c:pt idx="27">
                  <c:v>0.145</c:v>
                </c:pt>
                <c:pt idx="28">
                  <c:v>0.145</c:v>
                </c:pt>
                <c:pt idx="29">
                  <c:v>0.143</c:v>
                </c:pt>
                <c:pt idx="30">
                  <c:v>0.15</c:v>
                </c:pt>
                <c:pt idx="31">
                  <c:v>0.2</c:v>
                </c:pt>
                <c:pt idx="32">
                  <c:v>0.18</c:v>
                </c:pt>
                <c:pt idx="33">
                  <c:v>0.175</c:v>
                </c:pt>
                <c:pt idx="34">
                  <c:v>0.17</c:v>
                </c:pt>
                <c:pt idx="35">
                  <c:v>0.17</c:v>
                </c:pt>
                <c:pt idx="36">
                  <c:v>0.175</c:v>
                </c:pt>
                <c:pt idx="37">
                  <c:v>0.176</c:v>
                </c:pt>
                <c:pt idx="38">
                  <c:v>0.176</c:v>
                </c:pt>
                <c:pt idx="39">
                  <c:v>0.182</c:v>
                </c:pt>
                <c:pt idx="40">
                  <c:v>0.195</c:v>
                </c:pt>
                <c:pt idx="41">
                  <c:v>0.198</c:v>
                </c:pt>
                <c:pt idx="42">
                  <c:v>0.2005</c:v>
                </c:pt>
                <c:pt idx="43">
                  <c:v>0.2015</c:v>
                </c:pt>
                <c:pt idx="44">
                  <c:v>0.302</c:v>
                </c:pt>
                <c:pt idx="45">
                  <c:v>0.345</c:v>
                </c:pt>
                <c:pt idx="46">
                  <c:v>0.285</c:v>
                </c:pt>
                <c:pt idx="47">
                  <c:v>0.232</c:v>
                </c:pt>
                <c:pt idx="48">
                  <c:v>0.215</c:v>
                </c:pt>
                <c:pt idx="49">
                  <c:v>0.212</c:v>
                </c:pt>
                <c:pt idx="50">
                  <c:v>0.213</c:v>
                </c:pt>
                <c:pt idx="51">
                  <c:v>0.21</c:v>
                </c:pt>
                <c:pt idx="52">
                  <c:v>0.2052</c:v>
                </c:pt>
                <c:pt idx="53">
                  <c:v>0.205</c:v>
                </c:pt>
                <c:pt idx="54">
                  <c:v>0.21</c:v>
                </c:pt>
                <c:pt idx="55">
                  <c:v>0.2105</c:v>
                </c:pt>
                <c:pt idx="56">
                  <c:v>0.155</c:v>
                </c:pt>
                <c:pt idx="57">
                  <c:v>0.053</c:v>
                </c:pt>
                <c:pt idx="58">
                  <c:v>0.065</c:v>
                </c:pt>
                <c:pt idx="59">
                  <c:v>0.105</c:v>
                </c:pt>
                <c:pt idx="60">
                  <c:v>0.1</c:v>
                </c:pt>
                <c:pt idx="61">
                  <c:v>0.095</c:v>
                </c:pt>
                <c:pt idx="62">
                  <c:v>0.105</c:v>
                </c:pt>
                <c:pt idx="63">
                  <c:v>0.1</c:v>
                </c:pt>
              </c:numCache>
            </c:numRef>
          </c:val>
          <c:smooth val="0"/>
        </c:ser>
        <c:dLbls>
          <c:showLegendKey val="0"/>
          <c:showVal val="0"/>
          <c:showCatName val="0"/>
          <c:showSerName val="0"/>
          <c:showPercent val="0"/>
          <c:showBubbleSize val="0"/>
        </c:dLbls>
        <c:marker val="0"/>
        <c:smooth val="0"/>
        <c:axId val="242217344"/>
        <c:axId val="242218880"/>
      </c:lineChart>
      <c:dateAx>
        <c:axId val="242217344"/>
        <c:scaling>
          <c:orientation val="minMax"/>
          <c:max val="44630"/>
          <c:min val="44270"/>
        </c:scaling>
        <c:delete val="0"/>
        <c:axPos val="b"/>
        <c:numFmt formatCode="yyyy/m/d;@" sourceLinked="1"/>
        <c:majorTickMark val="out"/>
        <c:minorTickMark val="none"/>
        <c:tickLblPos val="nextTo"/>
        <c:spPr>
          <a:ln w="9525" cap="flat" cmpd="sng" algn="ctr">
            <a:solidFill>
              <a:srgbClr val="BFBFBF"/>
            </a:solidFill>
            <a:prstDash val="solid"/>
            <a:round/>
          </a:ln>
        </c:spPr>
        <c:txPr>
          <a:bodyPr rot="-6000000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242218880"/>
        <c:crosses val="autoZero"/>
        <c:auto val="1"/>
        <c:lblOffset val="100"/>
        <c:baseTimeUnit val="days"/>
        <c:majorUnit val="10"/>
        <c:majorTimeUnit val="days"/>
        <c:minorUnit val="15"/>
        <c:minorTimeUnit val="days"/>
      </c:dateAx>
      <c:valAx>
        <c:axId val="242218880"/>
        <c:scaling>
          <c:orientation val="minMax"/>
        </c:scaling>
        <c:delete val="0"/>
        <c:axPos val="l"/>
        <c:numFmt formatCode="0.00%" sourceLinked="1"/>
        <c:majorTickMark val="out"/>
        <c:minorTickMark val="none"/>
        <c:tickLblPos val="nextTo"/>
        <c:spPr>
          <a:ln w="9525" cap="flat" cmpd="sng" algn="ctr">
            <a:solidFill>
              <a:srgbClr val="BFBFBF"/>
            </a:solidFill>
            <a:prstDash val="solid"/>
            <a:round/>
          </a:ln>
        </c:spPr>
        <c:txPr>
          <a:bodyPr rot="-6000000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242217344"/>
        <c:crosses val="autoZero"/>
        <c:crossBetween val="between"/>
      </c:valAx>
      <c:spPr>
        <a:blipFill dpi="0" rotWithShape="1">
          <a:blip xmlns:r="http://schemas.openxmlformats.org/officeDocument/2006/relationships" r:embed="rId3">
            <a:alphaModFix amt="4000"/>
          </a:blip>
          <a:srcRect/>
          <a:stretch>
            <a:fillRect l="35000" t="30000" r="35000" b="30000"/>
          </a:stretch>
        </a:blipFill>
      </c:spPr>
    </c:plotArea>
    <c:plotVisOnly val="1"/>
    <c:dispBlanksAs val="gap"/>
    <c:showDLblsOverMax val="0"/>
  </c:chart>
  <c:spPr>
    <a:noFill/>
    <a:ln w="6350" cap="flat" cmpd="sng" algn="ctr">
      <a:solidFill>
        <a:schemeClr val="bg1"/>
      </a:solidFill>
      <a:prstDash val="solid"/>
      <a:round/>
    </a:ln>
  </c:spPr>
  <c:txPr>
    <a:bodyPr/>
    <a:lstStyle/>
    <a:p>
      <a:pPr>
        <a:defRPr lang="zh-CN">
          <a:solidFill>
            <a:srgbClr val="BFBFBF"/>
          </a:solidFill>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zh-CN" altLang="en-US" sz="1200"/>
              <a:t>贸易商</a:t>
            </a:r>
            <a:endParaRPr lang="zh-CN" altLang="en-US" sz="1200"/>
          </a:p>
        </c:rich>
      </c:tx>
      <c:layout/>
      <c:overlay val="0"/>
    </c:title>
    <c:autoTitleDeleted val="0"/>
    <c:plotArea>
      <c:layout/>
      <c:pieChart>
        <c:varyColors val="1"/>
        <c:ser>
          <c:idx val="0"/>
          <c:order val="0"/>
          <c:explosion val="0"/>
          <c:dPt>
            <c:idx val="0"/>
            <c:bubble3D val="0"/>
            <c:spPr>
              <a:solidFill>
                <a:schemeClr val="accent2"/>
              </a:solidFill>
            </c:spPr>
          </c:dPt>
          <c:dPt>
            <c:idx val="1"/>
            <c:bubble3D val="0"/>
            <c:spPr>
              <a:solidFill>
                <a:srgbClr val="92D050"/>
              </a:solidFill>
            </c:spPr>
          </c:dPt>
          <c:dPt>
            <c:idx val="2"/>
            <c:bubble3D val="0"/>
            <c:spPr>
              <a:solidFill>
                <a:schemeClr val="tx2">
                  <a:lumMod val="60000"/>
                  <a:lumOff val="40000"/>
                </a:scheme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从业者心态!$B$19:$D$19</c:f>
              <c:strCache>
                <c:ptCount val="3"/>
                <c:pt idx="0">
                  <c:v>看涨</c:v>
                </c:pt>
                <c:pt idx="1">
                  <c:v>看跌</c:v>
                </c:pt>
                <c:pt idx="2">
                  <c:v>震荡</c:v>
                </c:pt>
              </c:strCache>
            </c:strRef>
          </c:cat>
          <c:val>
            <c:numRef>
              <c:f>从业者心态!$B$21:$D$21</c:f>
              <c:numCache>
                <c:formatCode>0%</c:formatCode>
                <c:ptCount val="3"/>
                <c:pt idx="0">
                  <c:v>0</c:v>
                </c:pt>
                <c:pt idx="1">
                  <c:v>0.7</c:v>
                </c:pt>
                <c:pt idx="2">
                  <c:v>0.3</c:v>
                </c:pt>
              </c:numCache>
            </c:numRef>
          </c:val>
        </c:ser>
        <c:dLbls>
          <c:showLegendKey val="0"/>
          <c:showVal val="1"/>
          <c:showCatName val="0"/>
          <c:showSerName val="0"/>
          <c:showPercent val="0"/>
          <c:showBubbleSize val="0"/>
          <c:showLeaderLines val="1"/>
        </c:dLbls>
        <c:firstSliceAng val="0"/>
      </c:pieChart>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zh-CN" altLang="en-US" sz="1200"/>
              <a:t>米厂</a:t>
            </a:r>
            <a:endParaRPr lang="zh-CN" altLang="en-US" sz="1200"/>
          </a:p>
        </c:rich>
      </c:tx>
      <c:layout/>
      <c:overlay val="0"/>
    </c:title>
    <c:autoTitleDeleted val="0"/>
    <c:plotArea>
      <c:layout/>
      <c:pieChart>
        <c:varyColors val="1"/>
        <c:ser>
          <c:idx val="0"/>
          <c:order val="0"/>
          <c:explosion val="0"/>
          <c:dPt>
            <c:idx val="0"/>
            <c:bubble3D val="0"/>
            <c:spPr>
              <a:solidFill>
                <a:schemeClr val="accent2"/>
              </a:solidFill>
            </c:spPr>
          </c:dPt>
          <c:dPt>
            <c:idx val="1"/>
            <c:bubble3D val="0"/>
            <c:spPr>
              <a:solidFill>
                <a:srgbClr val="92D050"/>
              </a:solidFill>
            </c:spPr>
          </c:dPt>
          <c:dPt>
            <c:idx val="2"/>
            <c:bubble3D val="0"/>
            <c:spPr>
              <a:solidFill>
                <a:schemeClr val="tx2">
                  <a:lumMod val="60000"/>
                  <a:lumOff val="40000"/>
                </a:scheme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从业者心态!$F$19:$H$19</c:f>
              <c:strCache>
                <c:ptCount val="3"/>
                <c:pt idx="0">
                  <c:v>看涨</c:v>
                </c:pt>
                <c:pt idx="1">
                  <c:v>看跌</c:v>
                </c:pt>
                <c:pt idx="2">
                  <c:v>震荡</c:v>
                </c:pt>
              </c:strCache>
            </c:strRef>
          </c:cat>
          <c:val>
            <c:numRef>
              <c:f>从业者心态!$F$21:$H$21</c:f>
              <c:numCache>
                <c:formatCode>0%</c:formatCode>
                <c:ptCount val="3"/>
                <c:pt idx="0">
                  <c:v>0</c:v>
                </c:pt>
                <c:pt idx="1">
                  <c:v>0.8</c:v>
                </c:pt>
                <c:pt idx="2">
                  <c:v>0.2</c:v>
                </c:pt>
              </c:numCache>
            </c:numRef>
          </c:val>
        </c:ser>
        <c:dLbls>
          <c:showLegendKey val="0"/>
          <c:showVal val="1"/>
          <c:showCatName val="0"/>
          <c:showSerName val="0"/>
          <c:showPercent val="0"/>
          <c:showBubbleSize val="0"/>
          <c:showLeaderLines val="1"/>
        </c:dLbls>
        <c:firstSliceAng val="0"/>
      </c:pieChart>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雷达图!$A$3</c:f>
              <c:strCache>
                <c:ptCount val="1"/>
                <c:pt idx="0">
                  <c:v>影响值</c:v>
                </c:pt>
              </c:strCache>
            </c:strRef>
          </c:tx>
          <c:spPr>
            <a:ln w="50800" cap="rnd" cmpd="sng" algn="ctr">
              <a:solidFill>
                <a:srgbClr val="FF0000">
                  <a:alpha val="40000"/>
                </a:srgbClr>
              </a:solidFill>
              <a:prstDash val="solid"/>
              <a:round/>
            </a:ln>
            <a:effectLst/>
          </c:spPr>
          <c:marker>
            <c:symbol val="none"/>
          </c:marker>
          <c:dLbls>
            <c:dLbl>
              <c:idx val="1"/>
              <c:layout>
                <c:manualLayout>
                  <c:x val="-0.054852431420756"/>
                  <c:y val="0.0092809251511774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dk1">
                          <a:lumMod val="50000"/>
                          <a:lumOff val="50000"/>
                        </a:schemeClr>
                      </a:solidFill>
                      <a:latin typeface="+mn-lt"/>
                      <a:ea typeface="+mn-ea"/>
                      <a:cs typeface="+mn-cs"/>
                    </a:defRPr>
                  </a:pPr>
                </a:p>
              </c:txPr>
              <c:showLegendKey val="0"/>
              <c:showVal val="1"/>
              <c:showCatName val="0"/>
              <c:showSerName val="0"/>
              <c:showPercent val="0"/>
              <c:showBubbleSize val="0"/>
              <c:extLst>
                <c:ext xmlns:c15="http://schemas.microsoft.com/office/drawing/2012/chart" uri="{CE6537A1-D6FC-4f65-9D91-7224C49458BB}">
                  <c15:layout>
                    <c:manualLayout>
                      <c:w val="0.0437693389592124"/>
                      <c:h val="0.0648957743391125"/>
                    </c:manualLayout>
                  </c15:layout>
                </c:ext>
              </c:extLst>
            </c:dLbl>
            <c:dLbl>
              <c:idx val="2"/>
              <c:layout>
                <c:manualLayout>
                  <c:x val="-0.00562587904360067"/>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25035161744023"/>
                  <c:y val="0.027842227378190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dk1">
                        <a:lumMod val="50000"/>
                        <a:lumOff val="50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雷达图!$B$2:$I$2</c:f>
              <c:strCache>
                <c:ptCount val="8"/>
                <c:pt idx="0">
                  <c:v>产量</c:v>
                </c:pt>
                <c:pt idx="1">
                  <c:v>开工</c:v>
                </c:pt>
                <c:pt idx="2">
                  <c:v>库存</c:v>
                </c:pt>
                <c:pt idx="3">
                  <c:v>需求</c:v>
                </c:pt>
                <c:pt idx="4">
                  <c:v>出口</c:v>
                </c:pt>
                <c:pt idx="5">
                  <c:v>利润</c:v>
                </c:pt>
                <c:pt idx="6">
                  <c:v>成本</c:v>
                </c:pt>
                <c:pt idx="7">
                  <c:v>政策</c:v>
                </c:pt>
              </c:strCache>
            </c:strRef>
          </c:cat>
          <c:val>
            <c:numRef>
              <c:f>雷达图!$B$3:$I$3</c:f>
              <c:numCache>
                <c:formatCode>General</c:formatCode>
                <c:ptCount val="8"/>
                <c:pt idx="0">
                  <c:v>-3</c:v>
                </c:pt>
                <c:pt idx="1">
                  <c:v>-4</c:v>
                </c:pt>
                <c:pt idx="2">
                  <c:v>0</c:v>
                </c:pt>
                <c:pt idx="3">
                  <c:v>-4</c:v>
                </c:pt>
                <c:pt idx="4">
                  <c:v>0</c:v>
                </c:pt>
                <c:pt idx="5">
                  <c:v>-3</c:v>
                </c:pt>
                <c:pt idx="6">
                  <c:v>-2</c:v>
                </c:pt>
                <c:pt idx="7">
                  <c:v>2</c:v>
                </c:pt>
              </c:numCache>
            </c:numRef>
          </c:val>
        </c:ser>
        <c:dLbls>
          <c:showLegendKey val="0"/>
          <c:showVal val="0"/>
          <c:showCatName val="0"/>
          <c:showSerName val="0"/>
          <c:showPercent val="0"/>
          <c:showBubbleSize val="0"/>
        </c:dLbls>
        <c:axId val="242664192"/>
        <c:axId val="242665728"/>
      </c:radarChart>
      <c:catAx>
        <c:axId val="242664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1000" b="1" i="0" u="none" strike="noStrike" kern="1200" baseline="0">
                <a:solidFill>
                  <a:schemeClr val="dk1">
                    <a:lumMod val="50000"/>
                    <a:lumOff val="50000"/>
                  </a:schemeClr>
                </a:solidFill>
                <a:latin typeface="+mn-lt"/>
                <a:ea typeface="+mn-ea"/>
                <a:cs typeface="+mn-cs"/>
              </a:defRPr>
            </a:pPr>
          </a:p>
        </c:txPr>
        <c:crossAx val="242665728"/>
        <c:crosses val="autoZero"/>
        <c:auto val="1"/>
        <c:lblAlgn val="ctr"/>
        <c:lblOffset val="100"/>
        <c:noMultiLvlLbl val="0"/>
      </c:catAx>
      <c:valAx>
        <c:axId val="242665728"/>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50000"/>
                    <a:lumOff val="50000"/>
                  </a:schemeClr>
                </a:solidFill>
                <a:latin typeface="+mn-lt"/>
                <a:ea typeface="+mn-ea"/>
                <a:cs typeface="+mn-cs"/>
              </a:defRPr>
            </a:pPr>
          </a:p>
        </c:txPr>
        <c:crossAx val="242664192"/>
        <c:crosses val="autoZero"/>
        <c:crossBetween val="between"/>
        <c:minorUnit val="1"/>
      </c:valAx>
      <c:spPr>
        <a:noFill/>
        <a:ln>
          <a:noFill/>
        </a:ln>
        <a:effectLst/>
      </c:spPr>
    </c:plotArea>
    <c:plotVisOnly val="1"/>
    <c:dispBlanksAs val="gap"/>
    <c:showDLblsOverMax val="0"/>
  </c:chart>
  <c:spPr>
    <a:blipFill dpi="0" rotWithShape="1">
      <a:blip xmlns:r="http://schemas.openxmlformats.org/officeDocument/2006/relationships" r:embed="rId2">
        <a:alphaModFix amt="4000"/>
      </a:blip>
      <a:srcRect/>
      <a:stretch>
        <a:fillRect l="35000" t="30000" r="35000" b="30000"/>
      </a:stretch>
    </a:blip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0.02665</cdr:x>
      <cdr:y>0</cdr:y>
    </cdr:from>
    <cdr:to>
      <cdr:x>0.59792</cdr:x>
      <cdr:y>0.14405</cdr:y>
    </cdr:to>
    <cdr:sp>
      <cdr:nvSpPr>
        <cdr:cNvPr id="2" name="矩形 1"/>
        <cdr:cNvSpPr/>
      </cdr:nvSpPr>
      <cdr:spPr xmlns:a="http://schemas.openxmlformats.org/drawingml/2006/main">
        <a:xfrm xmlns:a="http://schemas.openxmlformats.org/drawingml/2006/main">
          <a:off x="133351" y="0"/>
          <a:ext cx="2858642" cy="466722"/>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1100" b="1">
              <a:solidFill>
                <a:srgbClr val="023985"/>
              </a:solidFill>
              <a:latin typeface="楷体" panose="02010609060101010101" pitchFamily="3" charset="-122"/>
              <a:ea typeface="楷体" panose="02010609060101010101" pitchFamily="3" charset="-122"/>
            </a:rPr>
            <a:t>2021</a:t>
          </a:r>
          <a:r>
            <a:rPr lang="zh-CN" altLang="en-US" sz="1100" b="1">
              <a:solidFill>
                <a:srgbClr val="023985"/>
              </a:solidFill>
              <a:latin typeface="楷体" panose="02010609060101010101" pitchFamily="3" charset="-122"/>
              <a:ea typeface="楷体" panose="02010609060101010101" pitchFamily="3" charset="-122"/>
            </a:rPr>
            <a:t>年全国米厂平均开机率</a:t>
          </a:r>
          <a:endParaRPr lang="zh-CN" altLang="en-US" sz="1100" b="1">
            <a:solidFill>
              <a:srgbClr val="023985"/>
            </a:solidFill>
            <a:latin typeface="楷体" panose="02010609060101010101" pitchFamily="3" charset="-122"/>
            <a:ea typeface="楷体" panose="02010609060101010101" pitchFamily="3" charset="-122"/>
          </a:endParaRPr>
        </a:p>
      </cdr:txBody>
    </cdr:sp>
  </cdr:relSizeAnchor>
</c:userShape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1-06-24T08:39:12"/>
    </inkml:context>
    <inkml:brush xml:id="br0">
      <inkml:brushProperty name="width" value="0.05" units="cm"/>
      <inkml:brushProperty name="height" value="0.05" units="cm"/>
      <inkml:brushProperty name="color" value="#000000"/>
    </inkml:brush>
  </inkml:definitions>
  <inkml:trace contextRef="#ctx0" brushRef="#br0">549 601 9344,'0'0'-9344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10</Pages>
  <Words>708</Words>
  <Characters>4040</Characters>
  <Lines>33</Lines>
  <Paragraphs>9</Paragraphs>
  <TotalTime>5</TotalTime>
  <ScaleCrop>false</ScaleCrop>
  <LinksUpToDate>false</LinksUpToDate>
  <CharactersWithSpaces>4739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2022-03-10T08:50:00Z</dcterms:created>
  <dcterms:modified xsi:type="dcterms:W3CDTF">2022-03-17T07:25:18Z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911312A138D04B658E963A51B4F282F5</vt:lpwstr>
  </property>
</Properties>
</file>