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楷体" w:cs="Times New Roman"/>
          <w:b w:val="0"/>
          <w:bCs/>
          <w:color w:val="000000" w:themeColor="text1"/>
          <w:kern w:val="2"/>
          <w:sz w:val="21"/>
          <w14:textFill>
            <w14:solidFill>
              <w14:schemeClr w14:val="tx1"/>
            </w14:solidFill>
          </w14:textFill>
        </w:rPr>
        <w:id w:val="1783770508"/>
        <w:docPartObj>
          <w:docPartGallery w:val="autotext"/>
        </w:docPartObj>
      </w:sdtPr>
      <w:sdtEndPr>
        <w:rPr>
          <w:rFonts w:asciiTheme="minorHAnsi" w:hAnsiTheme="minorHAnsi" w:eastAsiaTheme="minorEastAsia" w:cstheme="minorBidi"/>
          <w:b w:val="0"/>
          <w:bCs w:val="0"/>
          <w:color w:val="auto"/>
          <w:kern w:val="2"/>
          <w:sz w:val="21"/>
        </w:rPr>
      </w:sdtEndPr>
      <w:sdtContent>
        <w:p>
          <w:pPr>
            <w:pStyle w:val="2"/>
            <w:spacing w:line="480" w:lineRule="auto"/>
            <w:jc w:val="left"/>
            <w:rPr>
              <w:rFonts w:ascii="Times New Roman" w:hAnsi="Times New Roman" w:eastAsia="楷体" w:cs="Times New Roman"/>
              <w:b w:val="0"/>
              <w:bCs/>
              <w:color w:val="000000" w:themeColor="text1"/>
              <w14:textFill>
                <w14:solidFill>
                  <w14:schemeClr w14:val="tx1"/>
                </w14:solidFill>
              </w14:textFill>
            </w:rPr>
          </w:pPr>
          <w:bookmarkStart w:id="0" w:name="_Toc68076450"/>
          <w:bookmarkStart w:id="1" w:name="_Toc67480809"/>
          <w:bookmarkStart w:id="2" w:name="_Toc68092574"/>
          <w:bookmarkStart w:id="3" w:name="_Toc70690960"/>
          <w:bookmarkStart w:id="4" w:name="_Toc67480420"/>
          <w:bookmarkStart w:id="5" w:name="_Toc67479643"/>
          <w:bookmarkStart w:id="6" w:name="_Toc68017561"/>
          <w:bookmarkStart w:id="7" w:name="_Toc70253538"/>
          <w:bookmarkStart w:id="8" w:name="_Toc68017691"/>
          <w:bookmarkStart w:id="9" w:name="_Toc71393486"/>
          <w:r>
            <w:rPr>
              <w:rFonts w:ascii="Times New Roman" w:hAnsi="Times New Roman" w:eastAsia="楷体" w:cs="Times New Roman"/>
              <w:b w:val="0"/>
              <w:bCs/>
              <w:color w:val="000000" w:themeColor="text1"/>
              <w:sz w:val="18"/>
              <w:szCs w:val="18"/>
              <w14:textFill>
                <w14:solidFill>
                  <w14:schemeClr w14:val="tx1"/>
                </w14:solidFill>
              </w14:textFill>
            </w:rPr>
            <mc:AlternateContent>
              <mc:Choice Requires="wps">
                <w:drawing>
                  <wp:anchor distT="45720" distB="45720" distL="114300" distR="114300" simplePos="0" relativeHeight="256946176" behindDoc="0" locked="0" layoutInCell="1" allowOverlap="1">
                    <wp:simplePos x="0" y="0"/>
                    <wp:positionH relativeFrom="column">
                      <wp:posOffset>316865</wp:posOffset>
                    </wp:positionH>
                    <wp:positionV relativeFrom="paragraph">
                      <wp:posOffset>307340</wp:posOffset>
                    </wp:positionV>
                    <wp:extent cx="1312545" cy="1404620"/>
                    <wp:effectExtent l="0" t="0" r="1905" b="5080"/>
                    <wp:wrapSquare wrapText="bothSides"/>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12753" cy="1404620"/>
                            </a:xfrm>
                            <a:prstGeom prst="rect">
                              <a:avLst/>
                            </a:prstGeom>
                            <a:solidFill>
                              <a:srgbClr val="FFFFFF"/>
                            </a:solidFill>
                            <a:ln w="9525">
                              <a:noFill/>
                              <a:miter lim="800000"/>
                            </a:ln>
                          </wps:spPr>
                          <wps:txbx>
                            <w:txbxContent>
                              <w:p>
                                <w:r>
                                  <w:rPr>
                                    <w:rFonts w:ascii="Times New Roman" w:hAnsi="Times New Roman" w:eastAsia="楷体" w:cs="Times New Roman"/>
                                    <w:bCs/>
                                    <w:color w:val="000000" w:themeColor="text1"/>
                                    <w14:textFill>
                                      <w14:solidFill>
                                        <w14:schemeClr w14:val="tx1"/>
                                      </w14:solidFill>
                                    </w14:textFill>
                                  </w:rPr>
                                  <w:drawing>
                                    <wp:inline distT="0" distB="0" distL="0" distR="0">
                                      <wp:extent cx="1122045" cy="687705"/>
                                      <wp:effectExtent l="0" t="0" r="1905" b="0"/>
                                      <wp:docPr id="68"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logo"/>
                                              <pic:cNvPicPr>
                                                <a:picLocks noChangeAspect="1"/>
                                              </pic:cNvPicPr>
                                            </pic:nvPicPr>
                                            <pic:blipFill>
                                              <a:blip r:embed="rId6"/>
                                              <a:stretch>
                                                <a:fillRect/>
                                              </a:stretch>
                                            </pic:blipFill>
                                            <pic:spPr>
                                              <a:xfrm>
                                                <a:off x="0" y="0"/>
                                                <a:ext cx="1273358" cy="78085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4.95pt;margin-top:24.2pt;height:110.6pt;width:103.35pt;mso-wrap-distance-bottom:3.6pt;mso-wrap-distance-left:9pt;mso-wrap-distance-right:9pt;mso-wrap-distance-top:3.6pt;z-index:256946176;mso-width-relative:page;mso-height-relative:margin;mso-height-percent:200;" fillcolor="#FFFFFF" filled="t" stroked="f" coordsize="21600,21600" o:gfxdata="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atK2U2AAA&#10;AAkBAAAPAAAAAAAAAAEAIAAAACIAAABkcnMvZG93bnJldi54bWxQSwECFAAUAAAACACHTuJACdaL&#10;OR4CAAAGBAAADgAAAAAAAAABACAAAAAnAQAAZHJzL2Uyb0RvYy54bWxQSwUGAAAAAAYABgBZAQAA&#10;twUAAAAA&#10;">
                    <v:fill on="t" focussize="0,0"/>
                    <v:stroke on="f" miterlimit="8" joinstyle="miter"/>
                    <v:imagedata o:title=""/>
                    <o:lock v:ext="edit" aspectratio="f"/>
                    <v:textbox style="mso-fit-shape-to-text:t;">
                      <w:txbxContent>
                        <w:p>
                          <w:r>
                            <w:rPr>
                              <w:rFonts w:ascii="Times New Roman" w:hAnsi="Times New Roman" w:eastAsia="楷体" w:cs="Times New Roman"/>
                              <w:bCs/>
                              <w:color w:val="000000" w:themeColor="text1"/>
                              <w14:textFill>
                                <w14:solidFill>
                                  <w14:schemeClr w14:val="tx1"/>
                                </w14:solidFill>
                              </w14:textFill>
                            </w:rPr>
                            <w:drawing>
                              <wp:inline distT="0" distB="0" distL="0" distR="0">
                                <wp:extent cx="1122045" cy="687705"/>
                                <wp:effectExtent l="0" t="0" r="1905" b="0"/>
                                <wp:docPr id="68"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0" descr="logo"/>
                                        <pic:cNvPicPr>
                                          <a:picLocks noChangeAspect="1"/>
                                        </pic:cNvPicPr>
                                      </pic:nvPicPr>
                                      <pic:blipFill>
                                        <a:blip r:embed="rId6"/>
                                        <a:stretch>
                                          <a:fillRect/>
                                        </a:stretch>
                                      </pic:blipFill>
                                      <pic:spPr>
                                        <a:xfrm>
                                          <a:off x="0" y="0"/>
                                          <a:ext cx="1273358" cy="780852"/>
                                        </a:xfrm>
                                        <a:prstGeom prst="rect">
                                          <a:avLst/>
                                        </a:prstGeom>
                                      </pic:spPr>
                                    </pic:pic>
                                  </a:graphicData>
                                </a:graphic>
                              </wp:inline>
                            </w:drawing>
                          </w:r>
                        </w:p>
                      </w:txbxContent>
                    </v:textbox>
                    <w10:wrap type="square"/>
                  </v:shape>
                </w:pict>
              </mc:Fallback>
            </mc:AlternateContent>
          </w:r>
          <w:bookmarkEnd w:id="0"/>
          <w:bookmarkEnd w:id="1"/>
          <w:bookmarkEnd w:id="2"/>
          <w:bookmarkEnd w:id="3"/>
          <w:bookmarkEnd w:id="4"/>
          <w:bookmarkEnd w:id="5"/>
          <w:bookmarkEnd w:id="6"/>
          <w:bookmarkEnd w:id="7"/>
          <w:bookmarkEnd w:id="8"/>
          <w:bookmarkStart w:id="10" w:name="_Hlk68033018"/>
          <w:bookmarkEnd w:id="10"/>
        </w:p>
        <w:p>
          <w:pPr>
            <w:widowControl/>
            <w:jc w:val="left"/>
            <w:rPr>
              <w:rFonts w:hint="eastAsia" w:ascii="Times New Roman" w:hAnsi="Times New Roman" w:eastAsia="微软雅黑" w:cs="Times New Roman"/>
              <w:b/>
              <w:bCs/>
              <w:color w:val="023985"/>
              <w:sz w:val="36"/>
              <w:szCs w:val="36"/>
            </w:rPr>
          </w:pPr>
          <w:r>
            <w:rPr>
              <w:rFonts w:ascii="Times New Roman" w:hAnsi="Times New Roman" w:eastAsia="楷体" w:cs="Times New Roman"/>
              <w:b/>
              <w:bCs/>
              <w:color w:val="000000" w:themeColor="text1"/>
              <w:sz w:val="22"/>
              <w14:textFill>
                <w14:solidFill>
                  <w14:schemeClr w14:val="tx1"/>
                </w14:solidFill>
              </w14:textFill>
            </w:rPr>
            <mc:AlternateContent>
              <mc:Choice Requires="wps">
                <w:drawing>
                  <wp:anchor distT="0" distB="0" distL="114300" distR="114300" simplePos="0" relativeHeight="257445888" behindDoc="0" locked="0" layoutInCell="1" allowOverlap="1">
                    <wp:simplePos x="0" y="0"/>
                    <wp:positionH relativeFrom="margin">
                      <wp:posOffset>2406650</wp:posOffset>
                    </wp:positionH>
                    <wp:positionV relativeFrom="paragraph">
                      <wp:posOffset>892175</wp:posOffset>
                    </wp:positionV>
                    <wp:extent cx="4201795" cy="1434465"/>
                    <wp:effectExtent l="0" t="0" r="0" b="0"/>
                    <wp:wrapNone/>
                    <wp:docPr id="22" name="标题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01795" cy="1434465"/>
                            </a:xfrm>
                            <a:prstGeom prst="rect">
                              <a:avLst/>
                            </a:prstGeom>
                          </wps:spPr>
                          <wps:txbx>
                            <w:txbxContent>
                              <w:p>
                                <w:pPr>
                                  <w:jc w:val="center"/>
                                  <w:rPr>
                                    <w:rFonts w:hint="eastAsia" w:ascii="微软雅黑" w:hAnsi="微软雅黑" w:eastAsia="微软雅黑" w:cs="Times New Roman"/>
                                    <w:b/>
                                    <w:bCs/>
                                    <w:color w:val="FFFFFF" w:themeColor="background1"/>
                                    <w:kern w:val="24"/>
                                    <w:sz w:val="52"/>
                                    <w:szCs w:val="52"/>
                                    <w14:textFill>
                                      <w14:solidFill>
                                        <w14:schemeClr w14:val="bg1"/>
                                      </w14:solidFill>
                                    </w14:textFill>
                                  </w:rPr>
                                </w:pPr>
                                <w:r>
                                  <w:rPr>
                                    <w:rFonts w:hint="eastAsia" w:ascii="微软雅黑" w:hAnsi="微软雅黑" w:eastAsia="微软雅黑" w:cs="Times New Roman"/>
                                    <w:b/>
                                    <w:bCs/>
                                    <w:color w:val="FFFFFF" w:themeColor="background1"/>
                                    <w:kern w:val="24"/>
                                    <w:sz w:val="52"/>
                                    <w:szCs w:val="52"/>
                                    <w14:textFill>
                                      <w14:solidFill>
                                        <w14:schemeClr w14:val="bg1"/>
                                      </w14:solidFill>
                                    </w14:textFill>
                                  </w:rPr>
                                  <w:t>中国</w:t>
                                </w:r>
                                <w:r>
                                  <w:rPr>
                                    <w:rFonts w:hint="eastAsia" w:ascii="微软雅黑" w:hAnsi="微软雅黑" w:eastAsia="微软雅黑" w:cs="Times New Roman"/>
                                    <w:b/>
                                    <w:bCs/>
                                    <w:color w:val="FFFFFF" w:themeColor="background1"/>
                                    <w:kern w:val="24"/>
                                    <w:sz w:val="52"/>
                                    <w:szCs w:val="52"/>
                                    <w:lang w:val="en-US" w:eastAsia="zh-CN"/>
                                    <w14:textFill>
                                      <w14:solidFill>
                                        <w14:schemeClr w14:val="bg1"/>
                                      </w14:solidFill>
                                    </w14:textFill>
                                  </w:rPr>
                                  <w:t>废</w:t>
                                </w:r>
                                <w:r>
                                  <w:rPr>
                                    <w:rFonts w:hint="eastAsia" w:ascii="微软雅黑" w:hAnsi="微软雅黑" w:eastAsia="微软雅黑" w:cs="Times New Roman"/>
                                    <w:b/>
                                    <w:bCs/>
                                    <w:color w:val="FFFFFF" w:themeColor="background1"/>
                                    <w:kern w:val="24"/>
                                    <w:sz w:val="52"/>
                                    <w:szCs w:val="52"/>
                                    <w:lang w:eastAsia="zh-CN"/>
                                    <w14:textFill>
                                      <w14:solidFill>
                                        <w14:schemeClr w14:val="bg1"/>
                                      </w14:solidFill>
                                    </w14:textFill>
                                  </w:rPr>
                                  <w:t>不锈钢</w:t>
                                </w:r>
                                <w:r>
                                  <w:rPr>
                                    <w:rFonts w:hint="eastAsia" w:ascii="微软雅黑" w:hAnsi="微软雅黑" w:eastAsia="微软雅黑" w:cs="Times New Roman"/>
                                    <w:b/>
                                    <w:bCs/>
                                    <w:color w:val="FFFFFF" w:themeColor="background1"/>
                                    <w:kern w:val="24"/>
                                    <w:sz w:val="52"/>
                                    <w:szCs w:val="52"/>
                                    <w14:textFill>
                                      <w14:solidFill>
                                        <w14:schemeClr w14:val="bg1"/>
                                      </w14:solidFill>
                                    </w14:textFill>
                                  </w:rPr>
                                  <w:t>年度报告</w:t>
                                </w:r>
                              </w:p>
                              <w:p>
                                <w:pPr>
                                  <w:jc w:val="center"/>
                                  <w:rPr>
                                    <w:rFonts w:hint="eastAsia" w:ascii="微软雅黑" w:hAnsi="微软雅黑" w:eastAsia="微软雅黑" w:cs="Times New Roman"/>
                                    <w:b/>
                                    <w:bCs/>
                                    <w:color w:val="002060"/>
                                    <w:kern w:val="24"/>
                                    <w:sz w:val="52"/>
                                    <w:szCs w:val="52"/>
                                    <w:lang w:eastAsia="zh-CN"/>
                                  </w:rPr>
                                </w:pPr>
                                <w:r>
                                  <w:rPr>
                                    <w:rFonts w:hint="eastAsia" w:ascii="微软雅黑" w:hAnsi="微软雅黑" w:eastAsia="微软雅黑" w:cs="Times New Roman"/>
                                    <w:b/>
                                    <w:bCs/>
                                    <w:color w:val="FFFFFF" w:themeColor="background1"/>
                                    <w:kern w:val="24"/>
                                    <w:sz w:val="52"/>
                                    <w:szCs w:val="52"/>
                                    <w:lang w:eastAsia="zh-CN"/>
                                    <w14:textFill>
                                      <w14:solidFill>
                                        <w14:schemeClr w14:val="bg1"/>
                                      </w14:solidFill>
                                    </w14:textFill>
                                  </w:rPr>
                                  <w:t>（</w:t>
                                </w:r>
                                <w:r>
                                  <w:rPr>
                                    <w:rFonts w:hint="eastAsia" w:ascii="微软雅黑" w:hAnsi="微软雅黑" w:eastAsia="微软雅黑" w:cs="Times New Roman"/>
                                    <w:b/>
                                    <w:bCs/>
                                    <w:color w:val="FFFFFF" w:themeColor="background1"/>
                                    <w:kern w:val="24"/>
                                    <w:sz w:val="52"/>
                                    <w:szCs w:val="52"/>
                                    <w14:textFill>
                                      <w14:solidFill>
                                        <w14:schemeClr w14:val="bg1"/>
                                      </w14:solidFill>
                                    </w14:textFill>
                                  </w:rPr>
                                  <w:t>202</w:t>
                                </w:r>
                                <w:r>
                                  <w:rPr>
                                    <w:rFonts w:hint="eastAsia" w:ascii="微软雅黑" w:hAnsi="微软雅黑" w:eastAsia="微软雅黑" w:cs="Times New Roman"/>
                                    <w:b/>
                                    <w:bCs/>
                                    <w:color w:val="FFFFFF" w:themeColor="background1"/>
                                    <w:kern w:val="24"/>
                                    <w:sz w:val="52"/>
                                    <w:szCs w:val="52"/>
                                    <w:lang w:val="en-US" w:eastAsia="zh-CN"/>
                                    <w14:textFill>
                                      <w14:solidFill>
                                        <w14:schemeClr w14:val="bg1"/>
                                      </w14:solidFill>
                                    </w14:textFill>
                                  </w:rPr>
                                  <w:t>1</w:t>
                                </w:r>
                                <w:r>
                                  <w:rPr>
                                    <w:rFonts w:hint="eastAsia" w:ascii="微软雅黑" w:hAnsi="微软雅黑" w:eastAsia="微软雅黑" w:cs="Times New Roman"/>
                                    <w:b/>
                                    <w:bCs/>
                                    <w:color w:val="FFFFFF" w:themeColor="background1"/>
                                    <w:kern w:val="24"/>
                                    <w:sz w:val="52"/>
                                    <w:szCs w:val="52"/>
                                    <w:lang w:eastAsia="zh-CN"/>
                                    <w14:textFill>
                                      <w14:solidFill>
                                        <w14:schemeClr w14:val="bg1"/>
                                      </w14:solidFill>
                                    </w14:textFill>
                                  </w:rPr>
                                  <w:t>年）</w:t>
                                </w:r>
                              </w:p>
                            </w:txbxContent>
                          </wps:txbx>
                          <wps:bodyPr vert="horz" wrap="square" lIns="91440" tIns="45720" rIns="91440" bIns="45720" rtlCol="0" anchor="b">
                            <a:noAutofit/>
                          </wps:bodyPr>
                        </wps:wsp>
                      </a:graphicData>
                    </a:graphic>
                  </wp:anchor>
                </w:drawing>
              </mc:Choice>
              <mc:Fallback>
                <w:pict>
                  <v:rect id="标题 1" o:spid="_x0000_s1026" o:spt="1" style="position:absolute;left:0pt;margin-left:189.5pt;margin-top:70.25pt;height:112.95pt;width:330.85pt;mso-position-horizontal-relative:margin;z-index:257445888;v-text-anchor:bottom;mso-width-relative:page;mso-height-relative:page;" filled="f" stroked="f" coordsize="21600,21600" o:gfxdata="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ppvDNkAAAAMAQAADwAAAAAAAAABACAAAAAiAAAAZHJzL2Rvd25y&#10;ZXYueG1sUEsBAhQAFAAAAAgAh07iQKIAZMfEAQAAZwMAAA4AAAAAAAAAAQAgAAAAKAEAAGRycy9l&#10;Mm9Eb2MueG1sUEsFBgAAAAAGAAYAWQEAAF4FAAAAAA==&#10;">
                    <v:fill on="f" focussize="0,0"/>
                    <v:stroke on="f"/>
                    <v:imagedata o:title=""/>
                    <o:lock v:ext="edit" grouping="t" aspectratio="f"/>
                    <v:textbox>
                      <w:txbxContent>
                        <w:p>
                          <w:pPr>
                            <w:jc w:val="center"/>
                            <w:rPr>
                              <w:rFonts w:hint="eastAsia" w:ascii="微软雅黑" w:hAnsi="微软雅黑" w:eastAsia="微软雅黑" w:cs="Times New Roman"/>
                              <w:b/>
                              <w:bCs/>
                              <w:color w:val="FFFFFF" w:themeColor="background1"/>
                              <w:kern w:val="24"/>
                              <w:sz w:val="52"/>
                              <w:szCs w:val="52"/>
                              <w14:textFill>
                                <w14:solidFill>
                                  <w14:schemeClr w14:val="bg1"/>
                                </w14:solidFill>
                              </w14:textFill>
                            </w:rPr>
                          </w:pPr>
                          <w:r>
                            <w:rPr>
                              <w:rFonts w:hint="eastAsia" w:ascii="微软雅黑" w:hAnsi="微软雅黑" w:eastAsia="微软雅黑" w:cs="Times New Roman"/>
                              <w:b/>
                              <w:bCs/>
                              <w:color w:val="FFFFFF" w:themeColor="background1"/>
                              <w:kern w:val="24"/>
                              <w:sz w:val="52"/>
                              <w:szCs w:val="52"/>
                              <w14:textFill>
                                <w14:solidFill>
                                  <w14:schemeClr w14:val="bg1"/>
                                </w14:solidFill>
                              </w14:textFill>
                            </w:rPr>
                            <w:t>中国</w:t>
                          </w:r>
                          <w:r>
                            <w:rPr>
                              <w:rFonts w:hint="eastAsia" w:ascii="微软雅黑" w:hAnsi="微软雅黑" w:eastAsia="微软雅黑" w:cs="Times New Roman"/>
                              <w:b/>
                              <w:bCs/>
                              <w:color w:val="FFFFFF" w:themeColor="background1"/>
                              <w:kern w:val="24"/>
                              <w:sz w:val="52"/>
                              <w:szCs w:val="52"/>
                              <w:lang w:val="en-US" w:eastAsia="zh-CN"/>
                              <w14:textFill>
                                <w14:solidFill>
                                  <w14:schemeClr w14:val="bg1"/>
                                </w14:solidFill>
                              </w14:textFill>
                            </w:rPr>
                            <w:t>废</w:t>
                          </w:r>
                          <w:r>
                            <w:rPr>
                              <w:rFonts w:hint="eastAsia" w:ascii="微软雅黑" w:hAnsi="微软雅黑" w:eastAsia="微软雅黑" w:cs="Times New Roman"/>
                              <w:b/>
                              <w:bCs/>
                              <w:color w:val="FFFFFF" w:themeColor="background1"/>
                              <w:kern w:val="24"/>
                              <w:sz w:val="52"/>
                              <w:szCs w:val="52"/>
                              <w:lang w:eastAsia="zh-CN"/>
                              <w14:textFill>
                                <w14:solidFill>
                                  <w14:schemeClr w14:val="bg1"/>
                                </w14:solidFill>
                              </w14:textFill>
                            </w:rPr>
                            <w:t>不锈钢</w:t>
                          </w:r>
                          <w:r>
                            <w:rPr>
                              <w:rFonts w:hint="eastAsia" w:ascii="微软雅黑" w:hAnsi="微软雅黑" w:eastAsia="微软雅黑" w:cs="Times New Roman"/>
                              <w:b/>
                              <w:bCs/>
                              <w:color w:val="FFFFFF" w:themeColor="background1"/>
                              <w:kern w:val="24"/>
                              <w:sz w:val="52"/>
                              <w:szCs w:val="52"/>
                              <w14:textFill>
                                <w14:solidFill>
                                  <w14:schemeClr w14:val="bg1"/>
                                </w14:solidFill>
                              </w14:textFill>
                            </w:rPr>
                            <w:t>年度报告</w:t>
                          </w:r>
                        </w:p>
                        <w:p>
                          <w:pPr>
                            <w:jc w:val="center"/>
                            <w:rPr>
                              <w:rFonts w:hint="eastAsia" w:ascii="微软雅黑" w:hAnsi="微软雅黑" w:eastAsia="微软雅黑" w:cs="Times New Roman"/>
                              <w:b/>
                              <w:bCs/>
                              <w:color w:val="002060"/>
                              <w:kern w:val="24"/>
                              <w:sz w:val="52"/>
                              <w:szCs w:val="52"/>
                              <w:lang w:eastAsia="zh-CN"/>
                            </w:rPr>
                          </w:pPr>
                          <w:r>
                            <w:rPr>
                              <w:rFonts w:hint="eastAsia" w:ascii="微软雅黑" w:hAnsi="微软雅黑" w:eastAsia="微软雅黑" w:cs="Times New Roman"/>
                              <w:b/>
                              <w:bCs/>
                              <w:color w:val="FFFFFF" w:themeColor="background1"/>
                              <w:kern w:val="24"/>
                              <w:sz w:val="52"/>
                              <w:szCs w:val="52"/>
                              <w:lang w:eastAsia="zh-CN"/>
                              <w14:textFill>
                                <w14:solidFill>
                                  <w14:schemeClr w14:val="bg1"/>
                                </w14:solidFill>
                              </w14:textFill>
                            </w:rPr>
                            <w:t>（</w:t>
                          </w:r>
                          <w:r>
                            <w:rPr>
                              <w:rFonts w:hint="eastAsia" w:ascii="微软雅黑" w:hAnsi="微软雅黑" w:eastAsia="微软雅黑" w:cs="Times New Roman"/>
                              <w:b/>
                              <w:bCs/>
                              <w:color w:val="FFFFFF" w:themeColor="background1"/>
                              <w:kern w:val="24"/>
                              <w:sz w:val="52"/>
                              <w:szCs w:val="52"/>
                              <w14:textFill>
                                <w14:solidFill>
                                  <w14:schemeClr w14:val="bg1"/>
                                </w14:solidFill>
                              </w14:textFill>
                            </w:rPr>
                            <w:t>202</w:t>
                          </w:r>
                          <w:r>
                            <w:rPr>
                              <w:rFonts w:hint="eastAsia" w:ascii="微软雅黑" w:hAnsi="微软雅黑" w:eastAsia="微软雅黑" w:cs="Times New Roman"/>
                              <w:b/>
                              <w:bCs/>
                              <w:color w:val="FFFFFF" w:themeColor="background1"/>
                              <w:kern w:val="24"/>
                              <w:sz w:val="52"/>
                              <w:szCs w:val="52"/>
                              <w:lang w:val="en-US" w:eastAsia="zh-CN"/>
                              <w14:textFill>
                                <w14:solidFill>
                                  <w14:schemeClr w14:val="bg1"/>
                                </w14:solidFill>
                              </w14:textFill>
                            </w:rPr>
                            <w:t>1</w:t>
                          </w:r>
                          <w:r>
                            <w:rPr>
                              <w:rFonts w:hint="eastAsia" w:ascii="微软雅黑" w:hAnsi="微软雅黑" w:eastAsia="微软雅黑" w:cs="Times New Roman"/>
                              <w:b/>
                              <w:bCs/>
                              <w:color w:val="FFFFFF" w:themeColor="background1"/>
                              <w:kern w:val="24"/>
                              <w:sz w:val="52"/>
                              <w:szCs w:val="52"/>
                              <w:lang w:eastAsia="zh-CN"/>
                              <w14:textFill>
                                <w14:solidFill>
                                  <w14:schemeClr w14:val="bg1"/>
                                </w14:solidFill>
                              </w14:textFill>
                            </w:rPr>
                            <w:t>年）</w:t>
                          </w:r>
                        </w:p>
                      </w:txbxContent>
                    </v:textbox>
                  </v:rect>
                </w:pict>
              </mc:Fallback>
            </mc:AlternateContent>
          </w:r>
          <w:r>
            <w:rPr>
              <w:rFonts w:ascii="Times New Roman" w:hAnsi="Times New Roman" w:eastAsia="楷体" w:cs="Times New Roman"/>
              <w:b/>
              <w:bCs/>
              <w:color w:val="000000" w:themeColor="text1"/>
              <w:sz w:val="22"/>
              <w14:textFill>
                <w14:solidFill>
                  <w14:schemeClr w14:val="tx1"/>
                </w14:solidFill>
              </w14:textFill>
            </w:rPr>
            <mc:AlternateContent>
              <mc:Choice Requires="wps">
                <w:drawing>
                  <wp:anchor distT="0" distB="0" distL="114300" distR="114300" simplePos="0" relativeHeight="256955392" behindDoc="0" locked="0" layoutInCell="1" allowOverlap="1">
                    <wp:simplePos x="0" y="0"/>
                    <wp:positionH relativeFrom="margin">
                      <wp:posOffset>-463550</wp:posOffset>
                    </wp:positionH>
                    <wp:positionV relativeFrom="paragraph">
                      <wp:posOffset>3248025</wp:posOffset>
                    </wp:positionV>
                    <wp:extent cx="7581900" cy="590550"/>
                    <wp:effectExtent l="0" t="0" r="0" b="0"/>
                    <wp:wrapNone/>
                    <wp:docPr id="48" name="标题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81900" cy="590550"/>
                            </a:xfrm>
                            <a:prstGeom prst="rect">
                              <a:avLst/>
                            </a:prstGeom>
                          </wps:spPr>
                          <wps:txbx>
                            <w:txbxContent>
                              <w:p>
                                <w:pPr>
                                  <w:jc w:val="center"/>
                                  <w:rPr>
                                    <w:rFonts w:hint="eastAsia" w:ascii="微软雅黑" w:hAnsi="微软雅黑" w:eastAsia="微软雅黑" w:cs="Times New Roman"/>
                                    <w:b/>
                                    <w:bCs/>
                                    <w:color w:val="002060"/>
                                    <w:spacing w:val="-11"/>
                                    <w:kern w:val="24"/>
                                    <w:sz w:val="44"/>
                                    <w:szCs w:val="44"/>
                                    <w:lang w:eastAsia="zh-CN"/>
                                  </w:rPr>
                                </w:pPr>
                              </w:p>
                            </w:txbxContent>
                          </wps:txbx>
                          <wps:bodyPr vert="horz" wrap="square" lIns="0" tIns="0" rIns="0" bIns="0" rtlCol="0" anchor="b">
                            <a:noAutofit/>
                          </wps:bodyPr>
                        </wps:wsp>
                      </a:graphicData>
                    </a:graphic>
                  </wp:anchor>
                </w:drawing>
              </mc:Choice>
              <mc:Fallback>
                <w:pict>
                  <v:rect id="标题 1" o:spid="_x0000_s1026" o:spt="1" style="position:absolute;left:0pt;margin-left:-36.5pt;margin-top:255.75pt;height:46.5pt;width:597pt;mso-position-horizontal-relative:margin;z-index:256955392;v-text-anchor:bottom;mso-width-relative:page;mso-height-relative:page;" filled="f" stroked="f" coordsize="21600,21600" o:gfxdata="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p35Mb3AAAAAwBAAAPAAAAAAAAAAEAIAAAACIAAABkcnMvZG93bnJldi54bWxQ&#10;SwECFAAUAAAACACHTuJAbieo17oBAABWAwAADgAAAAAAAAABACAAAAArAQAAZHJzL2Uyb0RvYy54&#10;bWxQSwUGAAAAAAYABgBZAQAAVwUAAAAA&#10;">
                    <v:fill on="f" focussize="0,0"/>
                    <v:stroke on="f"/>
                    <v:imagedata o:title=""/>
                    <o:lock v:ext="edit" grouping="t" aspectratio="f"/>
                    <v:textbox inset="0mm,0mm,0mm,0mm">
                      <w:txbxContent>
                        <w:p>
                          <w:pPr>
                            <w:jc w:val="center"/>
                            <w:rPr>
                              <w:rFonts w:hint="eastAsia" w:ascii="微软雅黑" w:hAnsi="微软雅黑" w:eastAsia="微软雅黑" w:cs="Times New Roman"/>
                              <w:b/>
                              <w:bCs/>
                              <w:color w:val="002060"/>
                              <w:spacing w:val="-11"/>
                              <w:kern w:val="24"/>
                              <w:sz w:val="44"/>
                              <w:szCs w:val="44"/>
                              <w:lang w:eastAsia="zh-CN"/>
                            </w:rPr>
                          </w:pPr>
                        </w:p>
                      </w:txbxContent>
                    </v:textbox>
                  </v:rect>
                </w:pict>
              </mc:Fallback>
            </mc:AlternateContent>
          </w:r>
          <w:r>
            <w:rPr>
              <w:rFonts w:ascii="Times New Roman" w:hAnsi="Times New Roman" w:eastAsia="楷体" w:cs="Times New Roman"/>
              <w:b/>
              <w:bCs/>
              <w:color w:val="000000" w:themeColor="text1"/>
              <w:sz w:val="22"/>
              <w14:textFill>
                <w14:solidFill>
                  <w14:schemeClr w14:val="tx1"/>
                </w14:solidFill>
              </w14:textFill>
            </w:rPr>
            <mc:AlternateContent>
              <mc:Choice Requires="wps">
                <w:drawing>
                  <wp:anchor distT="0" distB="0" distL="114300" distR="114300" simplePos="0" relativeHeight="256945152" behindDoc="0" locked="0" layoutInCell="1" allowOverlap="1">
                    <wp:simplePos x="0" y="0"/>
                    <wp:positionH relativeFrom="margin">
                      <wp:posOffset>4097655</wp:posOffset>
                    </wp:positionH>
                    <wp:positionV relativeFrom="paragraph">
                      <wp:posOffset>7383780</wp:posOffset>
                    </wp:positionV>
                    <wp:extent cx="2548255" cy="3689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2548255" cy="368935"/>
                            </a:xfrm>
                            <a:prstGeom prst="rect">
                              <a:avLst/>
                            </a:prstGeom>
                            <a:noFill/>
                            <a:ln w="6350">
                              <a:noFill/>
                            </a:ln>
                          </wps:spPr>
                          <wps:txbx>
                            <w:txbxContent>
                              <w:p>
                                <w:pPr>
                                  <w:wordWrap w:val="0"/>
                                  <w:spacing w:line="360" w:lineRule="auto"/>
                                  <w:jc w:val="right"/>
                                  <w:rPr>
                                    <w:rFonts w:hint="eastAsia" w:ascii="楷体" w:hAnsi="楷体" w:eastAsiaTheme="minorEastAsia"/>
                                    <w:color w:val="002060"/>
                                    <w:sz w:val="22"/>
                                    <w:szCs w:val="24"/>
                                    <w:lang w:val="en-US" w:eastAsia="zh-CN"/>
                                  </w:rPr>
                                </w:pPr>
                                <w:r>
                                  <w:rPr>
                                    <w:rFonts w:hint="eastAsia"/>
                                    <w:lang w:val="en-US" w:eastAsia="zh-CN"/>
                                  </w:rPr>
                                  <w:t>2022</w:t>
                                </w:r>
                                <w:r>
                                  <w:t>年</w:t>
                                </w: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5pt;margin-top:581.4pt;height:29.05pt;width:200.65pt;mso-position-horizontal-relative:margin;z-index:256945152;mso-width-relative:page;mso-height-relative:page;" filled="f" stroked="f" coordsize="21600,21600" o:gfxdata="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MAcQDdAAAADgEAAA8AAAAAAAAAAQAgAAAAIgAAAGRycy9kb3ducmV2LnhtbFBLAQIUABQAAAAI&#10;AIdO4kDqLccyIQIAABoEAAAOAAAAAAAAAAEAIAAAACwBAABkcnMvZTJvRG9jLnhtbFBLBQYAAAAA&#10;BgAGAFkBAAC/BQAAAAA=&#10;">
                    <v:fill on="f" focussize="0,0"/>
                    <v:stroke on="f" weight="0.5pt"/>
                    <v:imagedata o:title=""/>
                    <o:lock v:ext="edit" aspectratio="f"/>
                    <v:textbox>
                      <w:txbxContent>
                        <w:p>
                          <w:pPr>
                            <w:wordWrap w:val="0"/>
                            <w:spacing w:line="360" w:lineRule="auto"/>
                            <w:jc w:val="right"/>
                            <w:rPr>
                              <w:rFonts w:hint="eastAsia" w:ascii="楷体" w:hAnsi="楷体" w:eastAsiaTheme="minorEastAsia"/>
                              <w:color w:val="002060"/>
                              <w:sz w:val="22"/>
                              <w:szCs w:val="24"/>
                              <w:lang w:val="en-US" w:eastAsia="zh-CN"/>
                            </w:rPr>
                          </w:pPr>
                          <w:r>
                            <w:rPr>
                              <w:rFonts w:hint="eastAsia"/>
                              <w:lang w:val="en-US" w:eastAsia="zh-CN"/>
                            </w:rPr>
                            <w:t>2022</w:t>
                          </w:r>
                          <w:r>
                            <w:t>年</w:t>
                          </w:r>
                          <w:r>
                            <w:rPr>
                              <w:rFonts w:hint="eastAsia"/>
                              <w:lang w:val="en-US" w:eastAsia="zh-CN"/>
                            </w:rPr>
                            <w:t xml:space="preserve"> </w:t>
                          </w:r>
                        </w:p>
                      </w:txbxContent>
                    </v:textbox>
                  </v:shape>
                </w:pict>
              </mc:Fallback>
            </mc:AlternateContent>
          </w:r>
          <w:r>
            <w:rPr>
              <w:rFonts w:ascii="Times New Roman" w:hAnsi="Times New Roman" w:eastAsia="楷体" w:cs="Times New Roman"/>
              <w:b/>
              <w:bCs/>
              <w:color w:val="000000" w:themeColor="text1"/>
              <w:sz w:val="18"/>
              <w:szCs w:val="18"/>
              <w14:textFill>
                <w14:solidFill>
                  <w14:schemeClr w14:val="tx1"/>
                </w14:solidFill>
              </w14:textFill>
            </w:rPr>
            <w:drawing>
              <wp:anchor distT="0" distB="0" distL="0" distR="0" simplePos="0" relativeHeight="256954368" behindDoc="0" locked="0" layoutInCell="1" allowOverlap="1">
                <wp:simplePos x="0" y="0"/>
                <wp:positionH relativeFrom="column">
                  <wp:posOffset>-1723390</wp:posOffset>
                </wp:positionH>
                <wp:positionV relativeFrom="paragraph">
                  <wp:posOffset>299085</wp:posOffset>
                </wp:positionV>
                <wp:extent cx="6645910" cy="2625725"/>
                <wp:effectExtent l="0" t="0" r="2540" b="0"/>
                <wp:wrapNone/>
                <wp:docPr id="8194" name="图片 3" descr="C:\Users\DELL\Desktop\模板2底板.png模板2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3" descr="C:\Users\DELL\Desktop\模板2底板.png模板2底板"/>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6645910" cy="2625765"/>
                        </a:xfrm>
                        <a:prstGeom prst="rect">
                          <a:avLst/>
                        </a:prstGeom>
                        <a:noFill/>
                        <a:ln>
                          <a:noFill/>
                        </a:ln>
                      </pic:spPr>
                    </pic:pic>
                  </a:graphicData>
                </a:graphic>
              </wp:anchor>
            </w:drawing>
          </w:r>
          <w:r>
            <w:rPr>
              <w:rFonts w:ascii="Times New Roman" w:hAnsi="Times New Roman" w:eastAsia="楷体" w:cs="Times New Roman"/>
              <w:b/>
              <w:bCs/>
              <w:color w:val="000000" w:themeColor="text1"/>
              <w:sz w:val="18"/>
              <w:szCs w:val="18"/>
              <w14:textFill>
                <w14:solidFill>
                  <w14:schemeClr w14:val="tx1"/>
                </w14:solidFill>
              </w14:textFill>
            </w:rPr>
            <mc:AlternateContent>
              <mc:Choice Requires="wps">
                <w:drawing>
                  <wp:anchor distT="45720" distB="45720" distL="114300" distR="114300" simplePos="0" relativeHeight="256947200" behindDoc="0" locked="0" layoutInCell="1" allowOverlap="1">
                    <wp:simplePos x="0" y="0"/>
                    <wp:positionH relativeFrom="margin">
                      <wp:align>right</wp:align>
                    </wp:positionH>
                    <wp:positionV relativeFrom="paragraph">
                      <wp:posOffset>6963410</wp:posOffset>
                    </wp:positionV>
                    <wp:extent cx="2525395" cy="506730"/>
                    <wp:effectExtent l="0" t="0" r="8255" b="7620"/>
                    <wp:wrapNone/>
                    <wp:docPr id="4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25546" cy="506994"/>
                            </a:xfrm>
                            <a:prstGeom prst="rect">
                              <a:avLst/>
                            </a:prstGeom>
                            <a:solidFill>
                              <a:srgbClr val="FFFFFF"/>
                            </a:solidFill>
                            <a:ln w="9525">
                              <a:noFill/>
                              <a:miter lim="800000"/>
                            </a:ln>
                          </wps:spPr>
                          <wps:txbx>
                            <w:txbxContent>
                              <w:p>
                                <w:pPr>
                                  <w:jc w:val="right"/>
                                  <w:rPr>
                                    <w:rFonts w:hint="eastAsia" w:ascii="微软雅黑" w:hAnsi="微软雅黑" w:eastAsia="微软雅黑"/>
                                    <w:b/>
                                    <w:bCs/>
                                    <w:color w:val="002060"/>
                                    <w:sz w:val="32"/>
                                    <w:szCs w:val="36"/>
                                    <w:lang w:val="en-US" w:eastAsia="zh-CN"/>
                                  </w:rPr>
                                </w:pPr>
                                <w:r>
                                  <w:rPr>
                                    <w:rFonts w:hint="eastAsia" w:ascii="微软雅黑" w:hAnsi="微软雅黑" w:eastAsia="微软雅黑"/>
                                    <w:b/>
                                    <w:bCs/>
                                    <w:color w:val="002060"/>
                                    <w:sz w:val="32"/>
                                    <w:szCs w:val="36"/>
                                    <w:lang w:eastAsia="zh-CN"/>
                                  </w:rPr>
                                  <w:t>不锈钢事业</w:t>
                                </w:r>
                                <w:r>
                                  <w:rPr>
                                    <w:rFonts w:hint="eastAsia" w:ascii="微软雅黑" w:hAnsi="微软雅黑" w:eastAsia="微软雅黑"/>
                                    <w:b/>
                                    <w:bCs/>
                                    <w:color w:val="002060"/>
                                    <w:sz w:val="32"/>
                                    <w:szCs w:val="36"/>
                                  </w:rPr>
                                  <w:t>部</w:t>
                                </w:r>
                                <w:r>
                                  <w:rPr>
                                    <w:rFonts w:hint="eastAsia" w:ascii="微软雅黑" w:hAnsi="微软雅黑" w:eastAsia="微软雅黑"/>
                                    <w:b/>
                                    <w:bCs/>
                                    <w:color w:val="002060"/>
                                    <w:sz w:val="32"/>
                                    <w:szCs w:val="36"/>
                                    <w:lang w:val="en-US" w:eastAsia="zh-CN"/>
                                  </w:rPr>
                                  <w:t xml:space="preserve">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548.3pt;height:39.9pt;width:198.85pt;mso-position-horizontal:right;mso-position-horizontal-relative:margin;z-index:256947200;mso-width-relative:page;mso-height-relative:page;" fillcolor="#FFFFFF" filled="t" stroked="f" coordsize="21600,21600" o:gfxdata="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Z7NBNcAAAAK&#10;AQAADwAAAAAAAAABACAAAAAiAAAAZHJzL2Rvd25yZXYueG1sUEsBAhQAFAAAAAgAh07iQHZkBeMd&#10;AgAABQQAAA4AAAAAAAAAAQAgAAAAJgEAAGRycy9lMm9Eb2MueG1sUEsFBgAAAAAGAAYAWQEAALUF&#10;AAAAAA==&#10;">
                    <v:fill on="t" focussize="0,0"/>
                    <v:stroke on="f" miterlimit="8" joinstyle="miter"/>
                    <v:imagedata o:title=""/>
                    <o:lock v:ext="edit" aspectratio="f"/>
                    <v:textbox>
                      <w:txbxContent>
                        <w:p>
                          <w:pPr>
                            <w:jc w:val="right"/>
                            <w:rPr>
                              <w:rFonts w:hint="eastAsia" w:ascii="微软雅黑" w:hAnsi="微软雅黑" w:eastAsia="微软雅黑"/>
                              <w:b/>
                              <w:bCs/>
                              <w:color w:val="002060"/>
                              <w:sz w:val="32"/>
                              <w:szCs w:val="36"/>
                              <w:lang w:val="en-US" w:eastAsia="zh-CN"/>
                            </w:rPr>
                          </w:pPr>
                          <w:r>
                            <w:rPr>
                              <w:rFonts w:hint="eastAsia" w:ascii="微软雅黑" w:hAnsi="微软雅黑" w:eastAsia="微软雅黑"/>
                              <w:b/>
                              <w:bCs/>
                              <w:color w:val="002060"/>
                              <w:sz w:val="32"/>
                              <w:szCs w:val="36"/>
                              <w:lang w:eastAsia="zh-CN"/>
                            </w:rPr>
                            <w:t>不锈钢事业</w:t>
                          </w:r>
                          <w:r>
                            <w:rPr>
                              <w:rFonts w:hint="eastAsia" w:ascii="微软雅黑" w:hAnsi="微软雅黑" w:eastAsia="微软雅黑"/>
                              <w:b/>
                              <w:bCs/>
                              <w:color w:val="002060"/>
                              <w:sz w:val="32"/>
                              <w:szCs w:val="36"/>
                            </w:rPr>
                            <w:t>部</w:t>
                          </w:r>
                          <w:r>
                            <w:rPr>
                              <w:rFonts w:hint="eastAsia" w:ascii="微软雅黑" w:hAnsi="微软雅黑" w:eastAsia="微软雅黑"/>
                              <w:b/>
                              <w:bCs/>
                              <w:color w:val="002060"/>
                              <w:sz w:val="32"/>
                              <w:szCs w:val="36"/>
                              <w:lang w:val="en-US" w:eastAsia="zh-CN"/>
                            </w:rPr>
                            <w:t xml:space="preserve"> </w:t>
                          </w:r>
                        </w:p>
                      </w:txbxContent>
                    </v:textbox>
                  </v:shape>
                </w:pict>
              </mc:Fallback>
            </mc:AlternateContent>
          </w:r>
          <w:r>
            <w:br w:type="page"/>
          </w:r>
        </w:p>
      </w:sdtContent>
    </w:sdt>
    <w:sdt>
      <w:sdtPr>
        <w:rPr>
          <w:rFonts w:asciiTheme="minorHAnsi" w:hAnsiTheme="minorHAnsi" w:eastAsiaTheme="minorEastAsia" w:cstheme="minorBidi"/>
          <w:color w:val="auto"/>
          <w:kern w:val="2"/>
          <w:sz w:val="21"/>
          <w:szCs w:val="22"/>
          <w:lang w:val="zh-CN"/>
        </w:rPr>
        <w:id w:val="554746440"/>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38"/>
            <w:rPr>
              <w:rFonts w:ascii="微软雅黑" w:hAnsi="微软雅黑" w:eastAsia="微软雅黑"/>
              <w:b/>
              <w:bCs/>
              <w:color w:val="auto"/>
              <w:sz w:val="52"/>
              <w:szCs w:val="52"/>
            </w:rPr>
          </w:pPr>
          <w:r>
            <w:rPr>
              <w:rFonts w:ascii="微软雅黑" w:hAnsi="微软雅黑" w:eastAsia="微软雅黑"/>
              <w:b/>
              <w:bCs/>
              <w:color w:val="auto"/>
              <w:sz w:val="44"/>
              <w:szCs w:val="44"/>
              <w:lang w:val="zh-CN"/>
            </w:rPr>
            <w:t>目录</w:t>
          </w:r>
        </w:p>
        <w:p>
          <w:pPr>
            <w:widowControl/>
            <w:jc w:val="left"/>
          </w:pPr>
        </w:p>
      </w:sdtContent>
    </w:sdt>
    <w:p>
      <w:pPr>
        <w:widowControl/>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第</w:t>
      </w: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 xml:space="preserve">章 </w:t>
      </w:r>
      <w:r>
        <w:rPr>
          <w:rFonts w:hint="eastAsia" w:ascii="微软雅黑" w:hAnsi="微软雅黑" w:eastAsia="微软雅黑" w:cs="微软雅黑"/>
          <w:kern w:val="2"/>
          <w:sz w:val="21"/>
          <w:szCs w:val="21"/>
          <w:lang w:val="en-US" w:eastAsia="zh-CN" w:bidi="ar-SA"/>
        </w:rPr>
        <w:t>废不锈钢的界定和分类</w:t>
      </w:r>
    </w:p>
    <w:p>
      <w:pPr>
        <w:spacing w:line="480" w:lineRule="auto"/>
        <w:ind w:firstLine="420" w:firstLineChars="200"/>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1.1 </w:t>
      </w:r>
      <w:r>
        <w:rPr>
          <w:rFonts w:hint="eastAsia" w:ascii="微软雅黑" w:hAnsi="微软雅黑" w:eastAsia="微软雅黑" w:cs="微软雅黑"/>
          <w:sz w:val="21"/>
          <w:szCs w:val="21"/>
          <w:lang w:val="en-US" w:eastAsia="zh-CN"/>
        </w:rPr>
        <w:t>行业定义</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 产品分类</w:t>
      </w:r>
    </w:p>
    <w:p>
      <w:pPr>
        <w:spacing w:line="480" w:lineRule="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第</w:t>
      </w: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rPr>
        <w:t xml:space="preserve">章 </w:t>
      </w:r>
      <w:r>
        <w:rPr>
          <w:rFonts w:hint="eastAsia" w:ascii="微软雅黑" w:hAnsi="微软雅黑" w:eastAsia="微软雅黑" w:cs="微软雅黑"/>
          <w:sz w:val="21"/>
          <w:szCs w:val="21"/>
          <w:lang w:val="en-US" w:eastAsia="zh-CN"/>
        </w:rPr>
        <w:t>中国废不锈钢行业市场规模介绍</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2.1华北市场</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2.2 华东市场</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2.3 华南市场</w:t>
      </w:r>
    </w:p>
    <w:p>
      <w:pPr>
        <w:spacing w:line="48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第</w:t>
      </w:r>
      <w:r>
        <w:rPr>
          <w:rFonts w:hint="eastAsia" w:ascii="微软雅黑" w:hAnsi="微软雅黑" w:eastAsia="微软雅黑" w:cs="微软雅黑"/>
          <w:sz w:val="21"/>
          <w:szCs w:val="21"/>
          <w:lang w:val="en-US" w:eastAsia="zh-CN"/>
        </w:rPr>
        <w:t>三</w:t>
      </w:r>
      <w:r>
        <w:rPr>
          <w:rFonts w:hint="eastAsia" w:ascii="微软雅黑" w:hAnsi="微软雅黑" w:eastAsia="微软雅黑" w:cs="微软雅黑"/>
          <w:sz w:val="21"/>
          <w:szCs w:val="21"/>
        </w:rPr>
        <w:t>章 2021年</w:t>
      </w:r>
      <w:r>
        <w:rPr>
          <w:rFonts w:hint="eastAsia" w:ascii="微软雅黑" w:hAnsi="微软雅黑" w:eastAsia="微软雅黑" w:cs="微软雅黑"/>
          <w:sz w:val="21"/>
          <w:szCs w:val="21"/>
          <w:lang w:val="en-US" w:eastAsia="zh-CN"/>
        </w:rPr>
        <w:t>废不锈钢</w:t>
      </w:r>
      <w:r>
        <w:rPr>
          <w:rFonts w:hint="eastAsia" w:ascii="微软雅黑" w:hAnsi="微软雅黑" w:eastAsia="微软雅黑" w:cs="微软雅黑"/>
          <w:sz w:val="21"/>
          <w:szCs w:val="21"/>
        </w:rPr>
        <w:t>行业运行情况及2022年关注焦点</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\l _Toc26949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3.1 200系废不锈钢价格走势分析</w:t>
      </w:r>
      <w:r>
        <w:rPr>
          <w:rFonts w:hint="eastAsia" w:ascii="微软雅黑" w:hAnsi="微软雅黑" w:eastAsia="微软雅黑" w:cs="微软雅黑"/>
          <w:sz w:val="21"/>
          <w:szCs w:val="21"/>
          <w:lang w:val="en-US" w:eastAsia="zh-CN"/>
        </w:rPr>
        <w:fldChar w:fldCharType="end"/>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\l _Toc26205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3.2 300系废不锈钢价格走势分析</w:t>
      </w:r>
      <w:r>
        <w:rPr>
          <w:rFonts w:hint="eastAsia" w:ascii="微软雅黑" w:hAnsi="微软雅黑" w:eastAsia="微软雅黑" w:cs="微软雅黑"/>
          <w:sz w:val="21"/>
          <w:szCs w:val="21"/>
          <w:lang w:val="en-US" w:eastAsia="zh-CN"/>
        </w:rPr>
        <w:fldChar w:fldCharType="end"/>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 HYPERLINK \l _Toc15580 </w:instrText>
      </w:r>
      <w:r>
        <w:rPr>
          <w:rFonts w:hint="eastAsia" w:ascii="微软雅黑" w:hAnsi="微软雅黑" w:eastAsia="微软雅黑" w:cs="微软雅黑"/>
          <w:sz w:val="21"/>
          <w:szCs w:val="21"/>
          <w:lang w:val="en-US" w:eastAsia="zh-CN"/>
        </w:rPr>
        <w:fldChar w:fldCharType="separate"/>
      </w:r>
      <w:r>
        <w:rPr>
          <w:rFonts w:hint="eastAsia" w:ascii="微软雅黑" w:hAnsi="微软雅黑" w:eastAsia="微软雅黑" w:cs="微软雅黑"/>
          <w:sz w:val="21"/>
          <w:szCs w:val="21"/>
          <w:lang w:val="en-US" w:eastAsia="zh-CN"/>
        </w:rPr>
        <w:t>3.3 400系废不锈钢价格走势分析</w:t>
      </w:r>
      <w:r>
        <w:rPr>
          <w:rFonts w:hint="eastAsia" w:ascii="微软雅黑" w:hAnsi="微软雅黑" w:eastAsia="微软雅黑" w:cs="微软雅黑"/>
          <w:sz w:val="21"/>
          <w:szCs w:val="21"/>
          <w:lang w:val="en-US" w:eastAsia="zh-CN"/>
        </w:rPr>
        <w:fldChar w:fldCharType="end"/>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3.4 热点关注</w:t>
      </w:r>
      <w:bookmarkEnd w:id="9"/>
    </w:p>
    <w:p>
      <w:pPr>
        <w:spacing w:line="480" w:lineRule="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第</w:t>
      </w:r>
      <w:r>
        <w:rPr>
          <w:rFonts w:hint="eastAsia" w:ascii="微软雅黑" w:hAnsi="微软雅黑" w:eastAsia="微软雅黑" w:cs="微软雅黑"/>
          <w:sz w:val="21"/>
          <w:szCs w:val="21"/>
          <w:lang w:val="en-US" w:eastAsia="zh-CN"/>
        </w:rPr>
        <w:t>四</w:t>
      </w:r>
      <w:r>
        <w:rPr>
          <w:rFonts w:hint="eastAsia" w:ascii="微软雅黑" w:hAnsi="微软雅黑" w:eastAsia="微软雅黑" w:cs="微软雅黑"/>
          <w:sz w:val="21"/>
          <w:szCs w:val="21"/>
        </w:rPr>
        <w:t xml:space="preserve">章 </w:t>
      </w:r>
      <w:r>
        <w:rPr>
          <w:rFonts w:hint="eastAsia" w:ascii="微软雅黑" w:hAnsi="微软雅黑" w:eastAsia="微软雅黑" w:cs="微软雅黑"/>
          <w:sz w:val="21"/>
          <w:szCs w:val="21"/>
          <w:lang w:val="en-US" w:eastAsia="zh-CN"/>
        </w:rPr>
        <w:t>2021年废不锈钢品种数据分析</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4.1钢厂废不锈钢采购量分析</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4.2钢厂废不锈钢使用占比分析</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4.3临沂华东有色金属城废不锈钢成交量分析</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4.4废不锈钢与镍铁经济性对比</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4.5 201、304、430电炉炼钢成本分析</w:t>
      </w:r>
    </w:p>
    <w:p>
      <w:pPr>
        <w:spacing w:line="480" w:lineRule="auto"/>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4.6 废不锈钢进出口数据分析</w:t>
      </w:r>
      <w:r>
        <w:rPr>
          <w:rFonts w:hint="eastAsia" w:ascii="微软雅黑" w:hAnsi="微软雅黑" w:eastAsia="微软雅黑" w:cs="微软雅黑"/>
          <w:sz w:val="21"/>
          <w:szCs w:val="21"/>
          <w:lang w:val="en-US" w:eastAsia="zh-CN"/>
        </w:rPr>
        <w:fldChar w:fldCharType="begin"/>
      </w:r>
      <w:r>
        <w:rPr>
          <w:rFonts w:hint="eastAsia" w:ascii="微软雅黑" w:hAnsi="微软雅黑" w:eastAsia="微软雅黑" w:cs="微软雅黑"/>
          <w:sz w:val="21"/>
          <w:szCs w:val="21"/>
          <w:lang w:val="en-US" w:eastAsia="zh-CN"/>
        </w:rPr>
        <w:instrText xml:space="preserve">TOC \o "1-3" \h \u </w:instrText>
      </w:r>
      <w:r>
        <w:rPr>
          <w:rFonts w:hint="eastAsia" w:ascii="微软雅黑" w:hAnsi="微软雅黑" w:eastAsia="微软雅黑" w:cs="微软雅黑"/>
          <w:sz w:val="21"/>
          <w:szCs w:val="21"/>
          <w:lang w:val="en-US" w:eastAsia="zh-CN"/>
        </w:rPr>
        <w:fldChar w:fldCharType="separate"/>
      </w:r>
    </w:p>
    <w:p>
      <w:pPr>
        <w:spacing w:line="48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第</w:t>
      </w:r>
      <w:r>
        <w:rPr>
          <w:rFonts w:hint="eastAsia" w:ascii="微软雅黑" w:hAnsi="微软雅黑" w:eastAsia="微软雅黑" w:cs="微软雅黑"/>
          <w:sz w:val="21"/>
          <w:szCs w:val="21"/>
          <w:lang w:val="en-US" w:eastAsia="zh-CN"/>
        </w:rPr>
        <w:fldChar w:fldCharType="end"/>
      </w:r>
      <w:r>
        <w:rPr>
          <w:rFonts w:hint="eastAsia" w:ascii="微软雅黑" w:hAnsi="微软雅黑" w:eastAsia="微软雅黑" w:cs="微软雅黑"/>
          <w:sz w:val="21"/>
          <w:szCs w:val="21"/>
          <w:lang w:val="en-US" w:eastAsia="zh-CN"/>
        </w:rPr>
        <w:t>五章 2022年废不锈钢供需及价格走势展望</w:t>
      </w:r>
    </w:p>
    <w:p>
      <w:pPr>
        <w:spacing w:line="480" w:lineRule="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第六章 2021年</w:t>
      </w:r>
      <w:r>
        <w:rPr>
          <w:rFonts w:hint="eastAsia" w:ascii="微软雅黑" w:hAnsi="微软雅黑" w:eastAsia="微软雅黑" w:cs="微软雅黑"/>
          <w:lang w:eastAsia="zh-CN"/>
        </w:rPr>
        <w:t>度新闻大事件</w:t>
      </w:r>
    </w:p>
    <w:p>
      <w:pPr>
        <w:spacing w:line="48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附录： </w:t>
      </w:r>
    </w:p>
    <w:p>
      <w:pPr>
        <w:spacing w:line="48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一 图表目录 </w:t>
      </w:r>
    </w:p>
    <w:p>
      <w:pPr>
        <w:spacing w:line="48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二 数据指标定义 </w:t>
      </w:r>
    </w:p>
    <w:p>
      <w:pPr>
        <w:spacing w:line="48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 版权及免责声明</w:t>
      </w:r>
    </w:p>
    <w:p>
      <w:pPr>
        <w:spacing w:line="48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w:t>
      </w:r>
      <w:bookmarkStart w:id="12" w:name="_GoBack"/>
      <w:bookmarkEnd w:id="12"/>
      <w:r>
        <w:rPr>
          <w:rFonts w:hint="eastAsia" w:ascii="微软雅黑" w:hAnsi="微软雅黑" w:eastAsia="微软雅黑" w:cs="微软雅黑"/>
          <w:sz w:val="21"/>
          <w:szCs w:val="21"/>
          <w:lang w:val="en-US" w:eastAsia="zh-CN"/>
        </w:rPr>
        <w:t>2021 年镍/铬/钴/不锈钢/废不锈钢品种年报正在火热促销中，五大品种任您选择！ 如有需要，请拨打 15170496283（苏振操）/17370890167（向锋）</w:t>
      </w:r>
    </w:p>
    <w:p>
      <w:pPr>
        <w:rPr>
          <w:rFonts w:hint="eastAsia" w:ascii="微软雅黑" w:hAnsi="微软雅黑" w:eastAsia="微软雅黑"/>
          <w:color w:val="023985"/>
          <w:sz w:val="36"/>
          <w:szCs w:val="20"/>
        </w:rPr>
      </w:pPr>
    </w:p>
    <w:p>
      <w:pPr>
        <w:rPr>
          <w:rFonts w:hint="eastAsia" w:ascii="微软雅黑" w:hAnsi="微软雅黑" w:eastAsia="微软雅黑"/>
          <w:color w:val="023985"/>
          <w:sz w:val="36"/>
          <w:szCs w:val="20"/>
        </w:rPr>
      </w:pPr>
    </w:p>
    <w:p>
      <w:pPr>
        <w:rPr>
          <w:rFonts w:hint="eastAsia" w:ascii="微软雅黑" w:hAnsi="微软雅黑" w:eastAsia="微软雅黑"/>
          <w:color w:val="023985"/>
          <w:sz w:val="36"/>
          <w:szCs w:val="20"/>
        </w:rPr>
      </w:pPr>
    </w:p>
    <w:p>
      <w:pPr>
        <w:rPr>
          <w:rFonts w:hint="eastAsia" w:ascii="微软雅黑" w:hAnsi="微软雅黑" w:eastAsia="微软雅黑"/>
          <w:color w:val="023985"/>
          <w:sz w:val="36"/>
          <w:szCs w:val="20"/>
        </w:rPr>
      </w:pPr>
    </w:p>
    <w:p>
      <w:pPr>
        <w:rPr>
          <w:rFonts w:hint="eastAsia" w:ascii="微软雅黑" w:hAnsi="微软雅黑" w:eastAsia="微软雅黑"/>
          <w:color w:val="023985"/>
          <w:sz w:val="36"/>
          <w:szCs w:val="20"/>
        </w:rPr>
      </w:pP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olor w:val="023985"/>
          <w:sz w:val="36"/>
          <w:szCs w:val="20"/>
          <w:lang w:eastAsia="zh-CN"/>
        </w:rPr>
      </w:pPr>
      <w:r>
        <mc:AlternateContent>
          <mc:Choice Requires="wps">
            <w:drawing>
              <wp:anchor distT="0" distB="0" distL="114300" distR="114300" simplePos="0" relativeHeight="266177536" behindDoc="0" locked="0" layoutInCell="1" allowOverlap="1">
                <wp:simplePos x="0" y="0"/>
                <wp:positionH relativeFrom="margin">
                  <wp:align>right</wp:align>
                </wp:positionH>
                <wp:positionV relativeFrom="paragraph">
                  <wp:posOffset>666115</wp:posOffset>
                </wp:positionV>
                <wp:extent cx="5039995" cy="2677160"/>
                <wp:effectExtent l="0" t="0" r="0" b="0"/>
                <wp:wrapNone/>
                <wp:docPr id="6" name="文本框 18"/>
                <wp:cNvGraphicFramePr/>
                <a:graphic xmlns:a="http://schemas.openxmlformats.org/drawingml/2006/main">
                  <a:graphicData uri="http://schemas.microsoft.com/office/word/2010/wordprocessingShape">
                    <wps:wsp>
                      <wps:cNvSpPr txBox="1"/>
                      <wps:spPr>
                        <a:xfrm>
                          <a:off x="0" y="0"/>
                          <a:ext cx="5039995" cy="2677160"/>
                        </a:xfrm>
                        <a:prstGeom prst="rect">
                          <a:avLst/>
                        </a:prstGeom>
                        <a:noFill/>
                      </wps:spPr>
                      <wps:txbx>
                        <w:txbxContent>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上海钢联（Mysteel Group 股票代码：300226)，是全球领先的大宗商品资讯与数据服务商。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作为恪守第三方立场的价格评估机构（PRA），上海钢联构建了以价格为核心，影响价格波动的多维度数据体系，为产业及金融客户提供决策支持，在现货与金融衍生品市场均取得了广泛认可与应用。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公司服务行业覆盖黑色金属、有色金属、能源化工、建筑材料、农产品及上下游产业链，通过价格、数据、快讯、分析、咨询、会务的产品矩阵，帮助全球客户在复杂多变的市场中作出明智决策。</w:t>
                            </w:r>
                          </w:p>
                        </w:txbxContent>
                      </wps:txbx>
                      <wps:bodyPr wrap="square">
                        <a:spAutoFit/>
                      </wps:bodyPr>
                    </wps:wsp>
                  </a:graphicData>
                </a:graphic>
              </wp:anchor>
            </w:drawing>
          </mc:Choice>
          <mc:Fallback>
            <w:pict>
              <v:shape id="文本框 18" o:spid="_x0000_s1026" o:spt="202" type="#_x0000_t202" style="position:absolute;left:0pt;margin-top:52.45pt;height:210.8pt;width:396.85pt;mso-position-horizontal:right;mso-position-horizontal-relative:margin;z-index:266177536;mso-width-relative:page;mso-height-relative:page;" filled="f" stroked="f" coordsize="21600,21600" o:gfxdata="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NXRBajWAAAACAEAAA8AAAAAAAAAAQAgAAAA&#10;IgAAAGRycy9kb3ducmV2LnhtbFBLAQIUABQAAAAIAIdO4kDSF6wLmwEAAAYDAAAOAAAAAAAAAAEA&#10;IAAAACUBAABkcnMvZTJvRG9jLnhtbFBLBQYAAAAABgAGAFkBAAAyBQ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上海钢联（Mysteel Group 股票代码：300226)，是全球领先的大宗商品资讯与数据服务商。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作为恪守第三方立场的价格评估机构（PRA），上海钢联构建了以价格为核心，影响价格波动的多维度数据体系，为产业及金融客户提供决策支持，在现货与金融衍生品市场均取得了广泛认可与应用。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楷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公司服务行业覆盖黑色金属、有色金属、能源化工、建筑材料、农产品及上下游产业链，通过价格、数据、快讯、分析、咨询、会务的产品矩阵，帮助全球客户在复杂多变的市场中作出明智决策。</w:t>
                      </w:r>
                    </w:p>
                  </w:txbxContent>
                </v:textbox>
              </v:shape>
            </w:pict>
          </mc:Fallback>
        </mc:AlternateContent>
      </w:r>
      <w:r>
        <w:rPr>
          <w:rFonts w:hint="eastAsia" w:ascii="微软雅黑" w:hAnsi="微软雅黑" w:eastAsia="微软雅黑"/>
          <w:color w:val="023985"/>
          <w:sz w:val="36"/>
          <w:szCs w:val="20"/>
          <w:lang w:eastAsia="zh-CN"/>
        </w:rPr>
        <w:t>关于我们</w:t>
      </w:r>
    </w:p>
    <w:p/>
    <w:p>
      <w:pPr>
        <w:tabs>
          <w:tab w:val="left" w:pos="1468"/>
        </w:tabs>
        <w:rPr>
          <w:rFonts w:ascii="微软雅黑" w:hAnsi="微软雅黑" w:eastAsia="微软雅黑" w:cstheme="majorBidi"/>
          <w:b/>
          <w:bCs/>
          <w:color w:val="023985"/>
          <w:sz w:val="36"/>
          <w:szCs w:val="36"/>
        </w:rPr>
      </w:pPr>
    </w:p>
    <w:p>
      <w:pPr>
        <w:rPr>
          <w:rFonts w:hint="eastAsia"/>
        </w:rPr>
      </w:pPr>
    </w:p>
    <w:p>
      <w:pPr>
        <w:rPr>
          <w:rFonts w:hint="eastAsia"/>
        </w:rPr>
      </w:pPr>
    </w:p>
    <w:p>
      <w:pPr>
        <w:rPr>
          <w:rFonts w:hint="eastAsia"/>
        </w:rPr>
      </w:pPr>
    </w:p>
    <w:p>
      <w:pPr>
        <w:rPr>
          <w:rFonts w:hint="eastAsia"/>
        </w:rPr>
      </w:pPr>
      <w:r>
        <w:rPr>
          <w:rFonts w:hint="eastAsia"/>
        </w:rPr>
        <w:br w:type="page"/>
      </w:r>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23985"/>
          <w:sz w:val="36"/>
          <w:szCs w:val="36"/>
        </w:rPr>
      </w:pPr>
      <w:bookmarkStart w:id="11" w:name="_Toc70253551"/>
    </w:p>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ascii="微软雅黑" w:hAnsi="微软雅黑" w:eastAsia="微软雅黑"/>
          <w:color w:val="023985"/>
          <w:sz w:val="36"/>
          <w:szCs w:val="20"/>
        </w:rPr>
      </w:pPr>
      <w:r>
        <mc:AlternateContent>
          <mc:Choice Requires="wps">
            <w:drawing>
              <wp:anchor distT="0" distB="0" distL="114300" distR="114300" simplePos="0" relativeHeight="258917376" behindDoc="0" locked="0" layoutInCell="1" allowOverlap="1">
                <wp:simplePos x="0" y="0"/>
                <wp:positionH relativeFrom="margin">
                  <wp:posOffset>1605915</wp:posOffset>
                </wp:positionH>
                <wp:positionV relativeFrom="paragraph">
                  <wp:posOffset>666115</wp:posOffset>
                </wp:positionV>
                <wp:extent cx="5039995" cy="2677160"/>
                <wp:effectExtent l="0" t="0" r="0" b="0"/>
                <wp:wrapNone/>
                <wp:docPr id="91" name="文本框 18"/>
                <wp:cNvGraphicFramePr/>
                <a:graphic xmlns:a="http://schemas.openxmlformats.org/drawingml/2006/main">
                  <a:graphicData uri="http://schemas.microsoft.com/office/word/2010/wordprocessingShape">
                    <wps:wsp>
                      <wps:cNvSpPr txBox="1"/>
                      <wps:spPr>
                        <a:xfrm>
                          <a:off x="0" y="0"/>
                          <a:ext cx="5039995" cy="2677160"/>
                        </a:xfrm>
                        <a:prstGeom prst="rect">
                          <a:avLst/>
                        </a:prstGeom>
                        <a:noFill/>
                      </wps:spPr>
                      <wps:txbx>
                        <w:txbxContent>
                          <w:p>
                            <w:pPr>
                              <w:spacing w:line="360" w:lineRule="auto"/>
                              <w:rPr>
                                <w:rFonts w:ascii="Times New Roman" w:hAnsi="Times New Roman" w:eastAsia="楷体"/>
                                <w:b/>
                                <w:bCs/>
                                <w:color w:val="000000" w:themeColor="text1"/>
                                <w:kern w:val="24"/>
                                <w:sz w:val="24"/>
                                <w:szCs w:val="24"/>
                                <w14:textFill>
                                  <w14:solidFill>
                                    <w14:schemeClr w14:val="tx1"/>
                                  </w14:solidFill>
                                </w14:textFill>
                              </w:rPr>
                            </w:pPr>
                            <w:r>
                              <w:rPr>
                                <w:rFonts w:hint="eastAsia" w:ascii="Times New Roman" w:hAnsi="Times New Roman" w:eastAsia="楷体"/>
                                <w:b/>
                                <w:bCs/>
                                <w:color w:val="000000" w:themeColor="text1"/>
                                <w:kern w:val="24"/>
                                <w:sz w:val="24"/>
                                <w:szCs w:val="24"/>
                                <w14:textFill>
                                  <w14:solidFill>
                                    <w14:schemeClr w14:val="tx1"/>
                                  </w14:solidFill>
                                </w14:textFill>
                              </w:rPr>
                              <w:t>免责声明</w:t>
                            </w:r>
                          </w:p>
                          <w:p>
                            <w:pPr>
                              <w:spacing w:line="360" w:lineRule="auto"/>
                              <w:rPr>
                                <w:rFonts w:ascii="Times New Roman" w:hAnsi="Times New Roman" w:eastAsia="楷体"/>
                                <w:color w:val="000000" w:themeColor="text1"/>
                                <w:kern w:val="24"/>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Times New Roman" w:hAnsi="Times New Roman" w:eastAsia="楷体"/>
                                <w:color w:val="000000" w:themeColor="text1"/>
                                <w:kern w:val="24"/>
                                <w:sz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rPr>
                                <w:rFonts w:ascii="Times New Roman" w:hAnsi="Times New Roman" w:eastAsia="楷体"/>
                                <w:color w:val="000000" w:themeColor="text1"/>
                                <w:kern w:val="24"/>
                                <w:sz w:val="24"/>
                                <w:szCs w:val="24"/>
                                <w14:textFill>
                                  <w14:solidFill>
                                    <w14:schemeClr w14:val="tx1"/>
                                  </w14:solidFill>
                                </w14:textFill>
                              </w:rPr>
                            </w:pPr>
                            <w:r>
                              <w:rPr>
                                <w:rFonts w:hint="eastAsia" w:ascii="Times New Roman" w:hAnsi="Times New Roman" w:eastAsia="楷体"/>
                                <w:color w:val="000000" w:themeColor="text1"/>
                                <w:kern w:val="24"/>
                                <w:sz w:val="24"/>
                                <w:szCs w:val="24"/>
                                <w14:textFill>
                                  <w14:solidFill>
                                    <w14:schemeClr w14:val="tx1"/>
                                  </w14:solidFill>
                                </w14:textFill>
                              </w:rPr>
                              <w:t xml:space="preserve"> </w:t>
                            </w:r>
                          </w:p>
                          <w:p>
                            <w:pPr>
                              <w:spacing w:line="360" w:lineRule="auto"/>
                              <w:rPr>
                                <w:rFonts w:hint="eastAsia" w:ascii="Times New Roman" w:hAnsi="Times New Roman" w:eastAsia="楷体" w:cs="宋体"/>
                                <w:color w:val="000000" w:themeColor="text1"/>
                                <w:sz w:val="24"/>
                                <w:szCs w:val="24"/>
                                <w14:textFill>
                                  <w14:solidFill>
                                    <w14:schemeClr w14:val="tx1"/>
                                  </w14:solidFill>
                                </w14:textFill>
                              </w:rPr>
                            </w:pPr>
                          </w:p>
                          <w:p>
                            <w:pPr>
                              <w:spacing w:line="360" w:lineRule="auto"/>
                              <w:rPr>
                                <w:rFonts w:ascii="Times New Roman" w:hAnsi="Times New Roman" w:eastAsia="楷体"/>
                                <w:b/>
                                <w:bCs/>
                                <w:color w:val="000000" w:themeColor="text1"/>
                                <w:kern w:val="24"/>
                                <w:sz w:val="24"/>
                                <w:szCs w:val="24"/>
                                <w14:textFill>
                                  <w14:solidFill>
                                    <w14:schemeClr w14:val="tx1"/>
                                  </w14:solidFill>
                                </w14:textFill>
                              </w:rPr>
                            </w:pPr>
                            <w:r>
                              <w:rPr>
                                <w:rFonts w:hint="eastAsia" w:ascii="Times New Roman" w:hAnsi="Times New Roman" w:eastAsia="楷体"/>
                                <w:b/>
                                <w:bCs/>
                                <w:color w:val="000000" w:themeColor="text1"/>
                                <w:kern w:val="24"/>
                                <w:sz w:val="24"/>
                                <w:szCs w:val="24"/>
                                <w14:textFill>
                                  <w14:solidFill>
                                    <w14:schemeClr w14:val="tx1"/>
                                  </w14:solidFill>
                                </w14:textFill>
                              </w:rPr>
                              <w:t>版权声明</w:t>
                            </w:r>
                          </w:p>
                          <w:p>
                            <w:pPr>
                              <w:spacing w:line="360" w:lineRule="auto"/>
                              <w:rPr>
                                <w:rFonts w:ascii="Times New Roman" w:hAnsi="Times New Roman" w:eastAsia="楷体" w:cs="宋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Times New Roman" w:hAnsi="Times New Roman" w:eastAsia="楷体"/>
                                <w:color w:val="000000" w:themeColor="text1"/>
                                <w:kern w:val="24"/>
                                <w:sz w:val="24"/>
                                <w:szCs w:val="24"/>
                                <w14:textFill>
                                  <w14:solidFill>
                                    <w14:schemeClr w14:val="tx1"/>
                                  </w14:solidFill>
                                </w14:textFill>
                              </w:rPr>
                              <w:t>或以其他方式使用本报告的部分或全部内容，否则均构成知识产权的侵犯</w:t>
                            </w:r>
                            <w:r>
                              <w:rPr>
                                <w:rFonts w:hint="eastAsia" w:ascii="Times New Roman" w:hAnsi="Times New Roman" w:eastAsia="楷体"/>
                                <w:color w:val="000000" w:themeColor="text1"/>
                                <w:sz w:val="24"/>
                                <w:szCs w:val="24"/>
                                <w14:textFill>
                                  <w14:solidFill>
                                    <w14:schemeClr w14:val="tx1"/>
                                  </w14:solidFill>
                                </w14:textFill>
                              </w:rPr>
                              <w:t>。Mysteel保留对任何侵权行为和有悖报告原意的引用行为进行追究的权利。</w:t>
                            </w:r>
                          </w:p>
                        </w:txbxContent>
                      </wps:txbx>
                      <wps:bodyPr wrap="square">
                        <a:spAutoFit/>
                      </wps:bodyPr>
                    </wps:wsp>
                  </a:graphicData>
                </a:graphic>
              </wp:anchor>
            </w:drawing>
          </mc:Choice>
          <mc:Fallback>
            <w:pict>
              <v:shape id="文本框 18" o:spid="_x0000_s1026" o:spt="202" type="#_x0000_t202" style="position:absolute;left:0pt;margin-left:126.45pt;margin-top:52.45pt;height:210.8pt;width:396.85pt;mso-position-horizontal-relative:margin;z-index:258917376;mso-width-relative:page;mso-height-relative:page;" filled="f" stroked="f" coordsize="21600,21600" o:gfxdata="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HgyqqXYAAAADAEAAA8AAAAAAAAAAQAg&#10;AAAAIgAAAGRycy9kb3ducmV2LnhtbFBLAQIUABQAAAAIAIdO4kC6k74UnAEAAAcDAAAOAAAAAAAA&#10;AAEAIAAAACcBAABkcnMvZTJvRG9jLnhtbFBLBQYAAAAABgAGAFkBAAA1BQAAAAA=&#10;">
                <v:fill on="f" focussize="0,0"/>
                <v:stroke on="f"/>
                <v:imagedata o:title=""/>
                <o:lock v:ext="edit" aspectratio="f"/>
                <v:textbox style="mso-fit-shape-to-text:t;">
                  <w:txbxContent>
                    <w:p>
                      <w:pPr>
                        <w:spacing w:line="360" w:lineRule="auto"/>
                        <w:rPr>
                          <w:rFonts w:ascii="Times New Roman" w:hAnsi="Times New Roman" w:eastAsia="楷体"/>
                          <w:b/>
                          <w:bCs/>
                          <w:color w:val="000000" w:themeColor="text1"/>
                          <w:kern w:val="24"/>
                          <w:sz w:val="24"/>
                          <w:szCs w:val="24"/>
                          <w14:textFill>
                            <w14:solidFill>
                              <w14:schemeClr w14:val="tx1"/>
                            </w14:solidFill>
                          </w14:textFill>
                        </w:rPr>
                      </w:pPr>
                      <w:r>
                        <w:rPr>
                          <w:rFonts w:hint="eastAsia" w:ascii="Times New Roman" w:hAnsi="Times New Roman" w:eastAsia="楷体"/>
                          <w:b/>
                          <w:bCs/>
                          <w:color w:val="000000" w:themeColor="text1"/>
                          <w:kern w:val="24"/>
                          <w:sz w:val="24"/>
                          <w:szCs w:val="24"/>
                          <w14:textFill>
                            <w14:solidFill>
                              <w14:schemeClr w14:val="tx1"/>
                            </w14:solidFill>
                          </w14:textFill>
                        </w:rPr>
                        <w:t>免责声明</w:t>
                      </w:r>
                    </w:p>
                    <w:p>
                      <w:pPr>
                        <w:spacing w:line="360" w:lineRule="auto"/>
                        <w:rPr>
                          <w:rFonts w:ascii="Times New Roman" w:hAnsi="Times New Roman" w:eastAsia="楷体"/>
                          <w:color w:val="000000" w:themeColor="text1"/>
                          <w:kern w:val="24"/>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Mysteel力求使用准确的数据信息，客观公正地表达内容及观点，但这并不构成对客户的直接决策建议，客户不应以此取代自己的独立判断，客户应该十分清楚，其据此做出的任何决策与Mysteel及其员工无关。</w:t>
                      </w:r>
                      <w:r>
                        <w:rPr>
                          <w:rFonts w:hint="eastAsia" w:ascii="Times New Roman" w:hAnsi="Times New Roman" w:eastAsia="楷体"/>
                          <w:color w:val="000000" w:themeColor="text1"/>
                          <w:kern w:val="24"/>
                          <w:sz w:val="24"/>
                          <w:szCs w:val="24"/>
                          <w14:textFill>
                            <w14:solidFill>
                              <w14:schemeClr w14:val="tx1"/>
                            </w14:solidFill>
                          </w14:textFill>
                        </w:rPr>
                        <w:t>报告中的信息均来源于公开资料及本公司合法获得的相关资料，Mysteel不确定客户收到本报告时相关信息是否已发生变更，报告中的内容和意见仅供参考，在任何情况下，Mysteel对客户及其员工对使用本报告及内容所引发的任何直接或间接损失概不负责，任何形式的分享收益或者分担损失的书面或口头承诺均为无效，Mysteel及员工亦不为客户因使用本报告或报告所载内容引起的任何损失承担任何责任。</w:t>
                      </w:r>
                    </w:p>
                    <w:p>
                      <w:pPr>
                        <w:spacing w:line="360" w:lineRule="auto"/>
                        <w:rPr>
                          <w:rFonts w:ascii="Times New Roman" w:hAnsi="Times New Roman" w:eastAsia="楷体"/>
                          <w:color w:val="000000" w:themeColor="text1"/>
                          <w:kern w:val="24"/>
                          <w:sz w:val="24"/>
                          <w:szCs w:val="24"/>
                          <w14:textFill>
                            <w14:solidFill>
                              <w14:schemeClr w14:val="tx1"/>
                            </w14:solidFill>
                          </w14:textFill>
                        </w:rPr>
                      </w:pPr>
                      <w:r>
                        <w:rPr>
                          <w:rFonts w:hint="eastAsia" w:ascii="Times New Roman" w:hAnsi="Times New Roman" w:eastAsia="楷体"/>
                          <w:color w:val="000000" w:themeColor="text1"/>
                          <w:kern w:val="24"/>
                          <w:sz w:val="24"/>
                          <w:szCs w:val="24"/>
                          <w14:textFill>
                            <w14:solidFill>
                              <w14:schemeClr w14:val="tx1"/>
                            </w14:solidFill>
                          </w14:textFill>
                        </w:rPr>
                        <w:t xml:space="preserve"> </w:t>
                      </w:r>
                    </w:p>
                    <w:p>
                      <w:pPr>
                        <w:spacing w:line="360" w:lineRule="auto"/>
                        <w:rPr>
                          <w:rFonts w:hint="eastAsia" w:ascii="Times New Roman" w:hAnsi="Times New Roman" w:eastAsia="楷体" w:cs="宋体"/>
                          <w:color w:val="000000" w:themeColor="text1"/>
                          <w:sz w:val="24"/>
                          <w:szCs w:val="24"/>
                          <w14:textFill>
                            <w14:solidFill>
                              <w14:schemeClr w14:val="tx1"/>
                            </w14:solidFill>
                          </w14:textFill>
                        </w:rPr>
                      </w:pPr>
                    </w:p>
                    <w:p>
                      <w:pPr>
                        <w:spacing w:line="360" w:lineRule="auto"/>
                        <w:rPr>
                          <w:rFonts w:ascii="Times New Roman" w:hAnsi="Times New Roman" w:eastAsia="楷体"/>
                          <w:b/>
                          <w:bCs/>
                          <w:color w:val="000000" w:themeColor="text1"/>
                          <w:kern w:val="24"/>
                          <w:sz w:val="24"/>
                          <w:szCs w:val="24"/>
                          <w14:textFill>
                            <w14:solidFill>
                              <w14:schemeClr w14:val="tx1"/>
                            </w14:solidFill>
                          </w14:textFill>
                        </w:rPr>
                      </w:pPr>
                      <w:r>
                        <w:rPr>
                          <w:rFonts w:hint="eastAsia" w:ascii="Times New Roman" w:hAnsi="Times New Roman" w:eastAsia="楷体"/>
                          <w:b/>
                          <w:bCs/>
                          <w:color w:val="000000" w:themeColor="text1"/>
                          <w:kern w:val="24"/>
                          <w:sz w:val="24"/>
                          <w:szCs w:val="24"/>
                          <w14:textFill>
                            <w14:solidFill>
                              <w14:schemeClr w14:val="tx1"/>
                            </w14:solidFill>
                          </w14:textFill>
                        </w:rPr>
                        <w:t>版权声明</w:t>
                      </w:r>
                    </w:p>
                    <w:p>
                      <w:pPr>
                        <w:spacing w:line="360" w:lineRule="auto"/>
                        <w:rPr>
                          <w:rFonts w:ascii="Times New Roman" w:hAnsi="Times New Roman" w:eastAsia="楷体" w:cs="宋体"/>
                          <w:color w:val="000000" w:themeColor="text1"/>
                          <w:sz w:val="24"/>
                          <w:szCs w:val="24"/>
                          <w14:textFill>
                            <w14:solidFill>
                              <w14:schemeClr w14:val="tx1"/>
                            </w14:solidFill>
                          </w14:textFill>
                        </w:rPr>
                      </w:pPr>
                      <w:r>
                        <w:rPr>
                          <w:rFonts w:hint="eastAsia" w:ascii="Times New Roman" w:hAnsi="Times New Roman" w:eastAsia="楷体"/>
                          <w:color w:val="000000" w:themeColor="text1"/>
                          <w:sz w:val="24"/>
                          <w:szCs w:val="24"/>
                          <w14:textFill>
                            <w14:solidFill>
                              <w14:schemeClr w14:val="tx1"/>
                            </w14:solidFill>
                          </w14:textFill>
                        </w:rPr>
                        <w:t>本报告版权归Mysteel所有，为非公开资料，仅供Mysteel客户使用。未经Mysteel书面授权，任何人不得以任何形式传送、发布、复制、转载、播放、展示</w:t>
                      </w:r>
                      <w:r>
                        <w:rPr>
                          <w:rFonts w:hint="eastAsia" w:ascii="Times New Roman" w:hAnsi="Times New Roman" w:eastAsia="楷体"/>
                          <w:color w:val="000000" w:themeColor="text1"/>
                          <w:kern w:val="24"/>
                          <w:sz w:val="24"/>
                          <w:szCs w:val="24"/>
                          <w14:textFill>
                            <w14:solidFill>
                              <w14:schemeClr w14:val="tx1"/>
                            </w14:solidFill>
                          </w14:textFill>
                        </w:rPr>
                        <w:t>或以其他方式使用本报告的部分或全部内容，否则均构成知识产权的侵犯</w:t>
                      </w:r>
                      <w:r>
                        <w:rPr>
                          <w:rFonts w:hint="eastAsia" w:ascii="Times New Roman" w:hAnsi="Times New Roman" w:eastAsia="楷体"/>
                          <w:color w:val="000000" w:themeColor="text1"/>
                          <w:sz w:val="24"/>
                          <w:szCs w:val="24"/>
                          <w14:textFill>
                            <w14:solidFill>
                              <w14:schemeClr w14:val="tx1"/>
                            </w14:solidFill>
                          </w14:textFill>
                        </w:rPr>
                        <w:t>。Mysteel保留对任何侵权行为和有悖报告原意的引用行为进行追究的权利。</w:t>
                      </w:r>
                    </w:p>
                  </w:txbxContent>
                </v:textbox>
              </v:shape>
            </w:pict>
          </mc:Fallback>
        </mc:AlternateContent>
      </w:r>
      <w:r>
        <w:rPr>
          <w:rFonts w:hint="eastAsia" w:ascii="微软雅黑" w:hAnsi="微软雅黑" w:eastAsia="微软雅黑"/>
          <w:color w:val="023985"/>
          <w:sz w:val="36"/>
          <w:szCs w:val="20"/>
        </w:rPr>
        <w:t>免责及版权声明</w:t>
      </w:r>
      <w:bookmarkEnd w:id="11"/>
    </w:p>
    <w:p/>
    <w:p>
      <w:pPr>
        <w:tabs>
          <w:tab w:val="left" w:pos="1468"/>
        </w:tabs>
        <w:rPr>
          <w:rFonts w:ascii="微软雅黑" w:hAnsi="微软雅黑" w:eastAsia="微软雅黑" w:cstheme="majorBidi"/>
          <w:b/>
          <w:bCs/>
          <w:color w:val="023985"/>
          <w:sz w:val="36"/>
          <w:szCs w:val="36"/>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sectPr>
      <w:headerReference r:id="rId3" w:type="default"/>
      <w:footerReference r:id="rId4" w:type="default"/>
      <w:pgSz w:w="11906" w:h="16838"/>
      <w:pgMar w:top="720" w:right="720" w:bottom="720" w:left="720" w:header="567" w:footer="567"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6082633"/>
    </w:sdtPr>
    <w:sdtContent>
      <w:p>
        <w:pPr>
          <w:pStyle w:val="7"/>
          <w:spacing w:line="276" w:lineRule="auto"/>
          <w:ind w:right="180"/>
        </w:pPr>
        <w:r>
          <w:drawing>
            <wp:anchor distT="0" distB="0" distL="114300" distR="114300" simplePos="0" relativeHeight="251668480" behindDoc="0" locked="0" layoutInCell="1" allowOverlap="1">
              <wp:simplePos x="0" y="0"/>
              <wp:positionH relativeFrom="margin">
                <wp:align>left</wp:align>
              </wp:positionH>
              <wp:positionV relativeFrom="paragraph">
                <wp:posOffset>-172720</wp:posOffset>
              </wp:positionV>
              <wp:extent cx="693420" cy="452120"/>
              <wp:effectExtent l="0" t="0" r="0" b="5080"/>
              <wp:wrapNone/>
              <wp:docPr id="8" name="图片 8"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徽标&#10;&#10;描述已自动生成"/>
                      <pic:cNvPicPr>
                        <a:picLocks noChangeAspect="1"/>
                      </pic:cNvPicPr>
                    </pic:nvPicPr>
                    <pic:blipFill>
                      <a:blip r:embed="rId1">
                        <a:extLst>
                          <a:ext uri="{28A0092B-C50C-407E-A947-70E740481C1C}">
                            <a14:useLocalDpi xmlns:a14="http://schemas.microsoft.com/office/drawing/2010/main" val="0"/>
                          </a:ext>
                        </a:extLst>
                      </a:blip>
                      <a:srcRect t="11743" b="23038"/>
                      <a:stretch>
                        <a:fillRect/>
                      </a:stretch>
                    </pic:blipFill>
                    <pic:spPr>
                      <a:xfrm>
                        <a:off x="0" y="0"/>
                        <a:ext cx="693420" cy="452120"/>
                      </a:xfrm>
                      <a:prstGeom prst="rect">
                        <a:avLst/>
                      </a:prstGeom>
                      <a:ln>
                        <a:noFill/>
                      </a:ln>
                    </pic:spPr>
                  </pic:pic>
                </a:graphicData>
              </a:graphic>
            </wp:anchor>
          </w:drawing>
        </w:r>
        <w:r>
          <w:t xml:space="preserve">                                                                                                               </w:t>
        </w:r>
        <w:r>
          <w:fldChar w:fldCharType="begin"/>
        </w:r>
        <w:r>
          <w:instrText xml:space="preserve">PAGE   \* MERGEFORMAT</w:instrText>
        </w:r>
        <w:r>
          <w:fldChar w:fldCharType="separate"/>
        </w:r>
        <w:r>
          <w:rPr>
            <w:lang w:val="zh-CN"/>
          </w:rPr>
          <w:t>30</w:t>
        </w:r>
        <w:r>
          <w:fldChar w:fldCharType="end"/>
        </w:r>
      </w:p>
      <w:p>
        <w:pPr>
          <w:pStyle w:val="7"/>
          <w:spacing w:line="276" w:lineRule="auto"/>
          <w:ind w:right="18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ascii="Times New Roman" w:hAnsi="Times New Roman" w:eastAsia="楷体" w:cs="Times New Roman"/>
        <w:b/>
        <w:bCs/>
        <w:color w:val="0000FF"/>
        <w14:textFill>
          <w14:gradFill>
            <w14:gsLst>
              <w14:gs w14:pos="0">
                <w14:srgbClr w14:val="012D86"/>
              </w14:gs>
              <w14:gs w14:pos="100000">
                <w14:srgbClr w14:val="0E2557"/>
              </w14:gs>
            </w14:gsLst>
            <w14:lin w14:ang="0" w14:scaled="0"/>
          </w14:gradFill>
        </w14:textFill>
      </w:rPr>
    </w:pPr>
    <w:r>
      <w:rPr>
        <w:rFonts w:ascii="Times New Roman" w:hAnsi="Times New Roman" w:eastAsia="楷体" w:cs="Times New Roman"/>
        <w:b/>
        <w:bCs/>
        <w:color w:val="0000FF"/>
        <w14:textFill>
          <w14:gradFill>
            <w14:gsLst>
              <w14:gs w14:pos="0">
                <w14:srgbClr w14:val="012D86"/>
              </w14:gs>
              <w14:gs w14:pos="100000">
                <w14:srgbClr w14:val="0E2557"/>
              </w14:gs>
            </w14:gsLst>
            <w14:lin w14:ang="0" w14:scaled="0"/>
          </w14:gradFill>
        </w14:textFill>
      </w:rPr>
      <w:t xml:space="preserve">                                                                      </w:t>
    </w:r>
  </w:p>
  <w:p>
    <w:pPr>
      <w:pStyle w:val="8"/>
      <w:pBdr>
        <w:bottom w:val="thinThickSmallGap" w:color="003366" w:sz="12" w:space="1"/>
      </w:pBdr>
      <w:tabs>
        <w:tab w:val="left" w:pos="6575"/>
      </w:tabs>
      <w:jc w:val="center"/>
      <w:rPr>
        <w:rFonts w:ascii="Times New Roman" w:hAnsi="Times New Roman" w:eastAsia="楷体" w:cs="Times New Roman"/>
        <w:b/>
        <w:bCs/>
        <w:color w:val="023985"/>
        <w:sz w:val="21"/>
        <w:szCs w:val="32"/>
      </w:rPr>
    </w:pPr>
    <w:r>
      <w:rPr>
        <w:rFonts w:hint="eastAsia" w:ascii="Times New Roman" w:hAnsi="Times New Roman" w:eastAsia="楷体" w:cs="Times New Roman"/>
        <w:b/>
        <w:bCs/>
        <w:color w:val="023985"/>
        <w:sz w:val="21"/>
        <w:szCs w:val="32"/>
        <w:lang w:val="en-US" w:eastAsia="zh-CN"/>
      </w:rPr>
      <w:t>S</w:t>
    </w:r>
    <w:r>
      <w:rPr>
        <w:rFonts w:hint="eastAsia" w:ascii="Times New Roman" w:hAnsi="Times New Roman" w:eastAsia="楷体" w:cs="Times New Roman"/>
        <w:b/>
        <w:bCs/>
        <w:color w:val="023985"/>
        <w:sz w:val="21"/>
        <w:szCs w:val="32"/>
      </w:rPr>
      <w:t xml:space="preserve">tainless </w:t>
    </w:r>
    <w:r>
      <w:rPr>
        <w:rFonts w:hint="eastAsia" w:ascii="Times New Roman" w:hAnsi="Times New Roman" w:eastAsia="楷体" w:cs="Times New Roman"/>
        <w:b/>
        <w:bCs/>
        <w:color w:val="023985"/>
        <w:sz w:val="21"/>
        <w:szCs w:val="32"/>
        <w:lang w:val="en-US" w:eastAsia="zh-CN"/>
      </w:rPr>
      <w:t>S</w:t>
    </w:r>
    <w:r>
      <w:rPr>
        <w:rFonts w:hint="eastAsia" w:ascii="Times New Roman" w:hAnsi="Times New Roman" w:eastAsia="楷体" w:cs="Times New Roman"/>
        <w:b/>
        <w:bCs/>
        <w:color w:val="023985"/>
        <w:sz w:val="21"/>
        <w:szCs w:val="32"/>
      </w:rPr>
      <w:t>teel</w:t>
    </w:r>
    <w:r>
      <w:rPr>
        <w:rFonts w:hint="eastAsia" w:ascii="Times New Roman" w:hAnsi="Times New Roman" w:eastAsia="楷体" w:cs="Times New Roman"/>
        <w:b/>
        <w:bCs/>
        <w:color w:val="023985"/>
        <w:sz w:val="21"/>
        <w:szCs w:val="32"/>
        <w:lang w:val="en-US" w:eastAsia="zh-CN"/>
      </w:rPr>
      <w:t xml:space="preserve"> Division</w:t>
    </w:r>
    <w:r>
      <w:rPr>
        <w:rFonts w:ascii="Times New Roman" w:hAnsi="Times New Roman" w:eastAsia="楷体" w:cs="Times New Roman"/>
        <w:b/>
        <w:bCs/>
        <w:color w:val="023985"/>
        <w:sz w:val="21"/>
        <w:szCs w:val="32"/>
      </w:rPr>
      <w:t xml:space="preserve">     </w:t>
    </w:r>
    <w:r>
      <w:rPr>
        <w:rFonts w:hint="eastAsia" w:ascii="Times New Roman" w:hAnsi="Times New Roman" w:eastAsia="楷体" w:cs="Times New Roman"/>
        <w:b/>
        <w:bCs/>
        <w:color w:val="023985"/>
        <w:sz w:val="21"/>
        <w:szCs w:val="32"/>
        <w:lang w:val="en-US" w:eastAsia="zh-CN"/>
      </w:rPr>
      <w:t xml:space="preserve">                 </w:t>
    </w:r>
    <w:r>
      <w:rPr>
        <w:rFonts w:ascii="Times New Roman" w:hAnsi="Times New Roman" w:eastAsia="楷体" w:cs="Times New Roman"/>
        <w:b/>
        <w:bCs/>
        <w:color w:val="023985"/>
        <w:sz w:val="21"/>
        <w:szCs w:val="32"/>
      </w:rPr>
      <w:t xml:space="preserve">                                              </w:t>
    </w:r>
    <w:r>
      <w:rPr>
        <w:rFonts w:hint="eastAsia" w:ascii="Times New Roman" w:hAnsi="Times New Roman" w:eastAsia="楷体" w:cs="Times New Roman"/>
        <w:b/>
        <w:bCs/>
        <w:color w:val="023985"/>
        <w:sz w:val="21"/>
        <w:szCs w:val="32"/>
        <w:lang w:eastAsia="zh-CN"/>
      </w:rPr>
      <w:t>不锈钢事业</w:t>
    </w:r>
    <w:r>
      <w:rPr>
        <w:rFonts w:ascii="Times New Roman" w:hAnsi="Times New Roman" w:eastAsia="楷体" w:cs="Times New Roman"/>
        <w:b/>
        <w:bCs/>
        <w:color w:val="023985"/>
        <w:sz w:val="21"/>
        <w:szCs w:val="32"/>
      </w:rPr>
      <w:t>部</w:t>
    </w:r>
  </w:p>
  <w:p>
    <w:pPr>
      <w:pStyle w:val="8"/>
      <w:rPr>
        <w:rFonts w:ascii="Times New Roman" w:hAnsi="Times New Roman" w:eastAsia="楷体"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zMjKxNLcwNze2tLRQ0lEKTi0uzszPAykwrAUA+2oTbywAAAA="/>
  </w:docVars>
  <w:rsids>
    <w:rsidRoot w:val="77626B74"/>
    <w:rsid w:val="00027227"/>
    <w:rsid w:val="000374F3"/>
    <w:rsid w:val="000433E1"/>
    <w:rsid w:val="00051F9C"/>
    <w:rsid w:val="0005543D"/>
    <w:rsid w:val="00061171"/>
    <w:rsid w:val="00070698"/>
    <w:rsid w:val="0008036E"/>
    <w:rsid w:val="0008534E"/>
    <w:rsid w:val="00091FCE"/>
    <w:rsid w:val="00095FD4"/>
    <w:rsid w:val="000A0887"/>
    <w:rsid w:val="000A3690"/>
    <w:rsid w:val="000A41E2"/>
    <w:rsid w:val="000B38DC"/>
    <w:rsid w:val="000B4C06"/>
    <w:rsid w:val="000E539E"/>
    <w:rsid w:val="000E73FE"/>
    <w:rsid w:val="00104FE5"/>
    <w:rsid w:val="0011059D"/>
    <w:rsid w:val="00126F72"/>
    <w:rsid w:val="00132C8D"/>
    <w:rsid w:val="001363BC"/>
    <w:rsid w:val="00140574"/>
    <w:rsid w:val="00142B58"/>
    <w:rsid w:val="00154AE4"/>
    <w:rsid w:val="00157234"/>
    <w:rsid w:val="00171CF1"/>
    <w:rsid w:val="00172D57"/>
    <w:rsid w:val="00194EBB"/>
    <w:rsid w:val="00195A63"/>
    <w:rsid w:val="00196103"/>
    <w:rsid w:val="00196F12"/>
    <w:rsid w:val="001A1E8A"/>
    <w:rsid w:val="001A67E8"/>
    <w:rsid w:val="001B2C41"/>
    <w:rsid w:val="001D1407"/>
    <w:rsid w:val="001D415C"/>
    <w:rsid w:val="001E053A"/>
    <w:rsid w:val="001E53E5"/>
    <w:rsid w:val="001F2CA8"/>
    <w:rsid w:val="002023B7"/>
    <w:rsid w:val="002033E8"/>
    <w:rsid w:val="00214D48"/>
    <w:rsid w:val="00221F9D"/>
    <w:rsid w:val="00225861"/>
    <w:rsid w:val="0023250C"/>
    <w:rsid w:val="00236168"/>
    <w:rsid w:val="00237237"/>
    <w:rsid w:val="00237BA7"/>
    <w:rsid w:val="00242E40"/>
    <w:rsid w:val="00247E5D"/>
    <w:rsid w:val="00253782"/>
    <w:rsid w:val="002609E6"/>
    <w:rsid w:val="00262797"/>
    <w:rsid w:val="00263A01"/>
    <w:rsid w:val="0026584D"/>
    <w:rsid w:val="0027043E"/>
    <w:rsid w:val="00270E85"/>
    <w:rsid w:val="0028579A"/>
    <w:rsid w:val="00295A4D"/>
    <w:rsid w:val="00295CBA"/>
    <w:rsid w:val="00296784"/>
    <w:rsid w:val="002A2F1C"/>
    <w:rsid w:val="002A5ACF"/>
    <w:rsid w:val="002A7B6C"/>
    <w:rsid w:val="002B2472"/>
    <w:rsid w:val="002D3511"/>
    <w:rsid w:val="002D493C"/>
    <w:rsid w:val="002F0453"/>
    <w:rsid w:val="002F0875"/>
    <w:rsid w:val="002F1136"/>
    <w:rsid w:val="002F4388"/>
    <w:rsid w:val="002F4C45"/>
    <w:rsid w:val="002F754E"/>
    <w:rsid w:val="00300A8F"/>
    <w:rsid w:val="003143AC"/>
    <w:rsid w:val="00317D01"/>
    <w:rsid w:val="00335516"/>
    <w:rsid w:val="00336EE6"/>
    <w:rsid w:val="003423C1"/>
    <w:rsid w:val="003519B7"/>
    <w:rsid w:val="003528DB"/>
    <w:rsid w:val="00372BDA"/>
    <w:rsid w:val="003758AD"/>
    <w:rsid w:val="00376733"/>
    <w:rsid w:val="003858B9"/>
    <w:rsid w:val="00391183"/>
    <w:rsid w:val="003965E0"/>
    <w:rsid w:val="00396CC7"/>
    <w:rsid w:val="00396F5A"/>
    <w:rsid w:val="00397C79"/>
    <w:rsid w:val="003A0F02"/>
    <w:rsid w:val="003B2382"/>
    <w:rsid w:val="003C0922"/>
    <w:rsid w:val="003C6E5A"/>
    <w:rsid w:val="003D3769"/>
    <w:rsid w:val="003E1F84"/>
    <w:rsid w:val="003F0C52"/>
    <w:rsid w:val="003F4194"/>
    <w:rsid w:val="00400CED"/>
    <w:rsid w:val="0040301E"/>
    <w:rsid w:val="00421D6D"/>
    <w:rsid w:val="00424DFC"/>
    <w:rsid w:val="00432A40"/>
    <w:rsid w:val="00435423"/>
    <w:rsid w:val="00440B39"/>
    <w:rsid w:val="0045019E"/>
    <w:rsid w:val="00450242"/>
    <w:rsid w:val="00454A5F"/>
    <w:rsid w:val="004677D9"/>
    <w:rsid w:val="004761F6"/>
    <w:rsid w:val="00477C4E"/>
    <w:rsid w:val="00482228"/>
    <w:rsid w:val="00490A8A"/>
    <w:rsid w:val="00494199"/>
    <w:rsid w:val="004A536F"/>
    <w:rsid w:val="004A56C4"/>
    <w:rsid w:val="004C101E"/>
    <w:rsid w:val="004C4BFC"/>
    <w:rsid w:val="004C58E0"/>
    <w:rsid w:val="004D1273"/>
    <w:rsid w:val="004F38C7"/>
    <w:rsid w:val="00500F82"/>
    <w:rsid w:val="00503A8F"/>
    <w:rsid w:val="00515F6F"/>
    <w:rsid w:val="0051655C"/>
    <w:rsid w:val="00522432"/>
    <w:rsid w:val="00524F20"/>
    <w:rsid w:val="005453A0"/>
    <w:rsid w:val="00551B2B"/>
    <w:rsid w:val="00553C3B"/>
    <w:rsid w:val="00562D11"/>
    <w:rsid w:val="005704DD"/>
    <w:rsid w:val="0057163E"/>
    <w:rsid w:val="005766C0"/>
    <w:rsid w:val="00576FCF"/>
    <w:rsid w:val="00585336"/>
    <w:rsid w:val="00587324"/>
    <w:rsid w:val="005A4BFC"/>
    <w:rsid w:val="005A731A"/>
    <w:rsid w:val="005B5025"/>
    <w:rsid w:val="005D7835"/>
    <w:rsid w:val="005E2ABA"/>
    <w:rsid w:val="005E631D"/>
    <w:rsid w:val="005E6A81"/>
    <w:rsid w:val="005F7743"/>
    <w:rsid w:val="00603911"/>
    <w:rsid w:val="00604E13"/>
    <w:rsid w:val="00605B9E"/>
    <w:rsid w:val="00611349"/>
    <w:rsid w:val="00611365"/>
    <w:rsid w:val="0062044E"/>
    <w:rsid w:val="00620DC2"/>
    <w:rsid w:val="0063005B"/>
    <w:rsid w:val="00634E4C"/>
    <w:rsid w:val="00651D49"/>
    <w:rsid w:val="006602F3"/>
    <w:rsid w:val="006749C1"/>
    <w:rsid w:val="00685703"/>
    <w:rsid w:val="006A28CC"/>
    <w:rsid w:val="006A7CBB"/>
    <w:rsid w:val="006A7FD0"/>
    <w:rsid w:val="006B45DF"/>
    <w:rsid w:val="006B49E4"/>
    <w:rsid w:val="006B53EF"/>
    <w:rsid w:val="006E2C71"/>
    <w:rsid w:val="006E6E7B"/>
    <w:rsid w:val="006E7C74"/>
    <w:rsid w:val="006F0054"/>
    <w:rsid w:val="006F5635"/>
    <w:rsid w:val="007141CF"/>
    <w:rsid w:val="0072084A"/>
    <w:rsid w:val="00740BA8"/>
    <w:rsid w:val="007436F7"/>
    <w:rsid w:val="00743B22"/>
    <w:rsid w:val="00743BE2"/>
    <w:rsid w:val="00747702"/>
    <w:rsid w:val="007518C0"/>
    <w:rsid w:val="007569D7"/>
    <w:rsid w:val="00760392"/>
    <w:rsid w:val="00764E5B"/>
    <w:rsid w:val="00773743"/>
    <w:rsid w:val="00777079"/>
    <w:rsid w:val="007832D3"/>
    <w:rsid w:val="007A0A2A"/>
    <w:rsid w:val="007A247B"/>
    <w:rsid w:val="007B20BE"/>
    <w:rsid w:val="007C0D5E"/>
    <w:rsid w:val="007C19C9"/>
    <w:rsid w:val="007C537B"/>
    <w:rsid w:val="007C60FD"/>
    <w:rsid w:val="007E19F1"/>
    <w:rsid w:val="007E26FA"/>
    <w:rsid w:val="007F032D"/>
    <w:rsid w:val="007F350E"/>
    <w:rsid w:val="00801F84"/>
    <w:rsid w:val="008058AA"/>
    <w:rsid w:val="0081289D"/>
    <w:rsid w:val="00813F34"/>
    <w:rsid w:val="008206C3"/>
    <w:rsid w:val="00824AA3"/>
    <w:rsid w:val="00825353"/>
    <w:rsid w:val="00827587"/>
    <w:rsid w:val="00832C53"/>
    <w:rsid w:val="008376AE"/>
    <w:rsid w:val="008415D8"/>
    <w:rsid w:val="00843192"/>
    <w:rsid w:val="00846FA9"/>
    <w:rsid w:val="008500BE"/>
    <w:rsid w:val="00856674"/>
    <w:rsid w:val="0086190D"/>
    <w:rsid w:val="00866637"/>
    <w:rsid w:val="008725AD"/>
    <w:rsid w:val="00873155"/>
    <w:rsid w:val="008878A9"/>
    <w:rsid w:val="00893FD1"/>
    <w:rsid w:val="00895D7E"/>
    <w:rsid w:val="008A16E2"/>
    <w:rsid w:val="008A55EA"/>
    <w:rsid w:val="008A61B6"/>
    <w:rsid w:val="008B0041"/>
    <w:rsid w:val="008D1165"/>
    <w:rsid w:val="008E0BC1"/>
    <w:rsid w:val="00903D05"/>
    <w:rsid w:val="00906660"/>
    <w:rsid w:val="00907976"/>
    <w:rsid w:val="00921416"/>
    <w:rsid w:val="0093179C"/>
    <w:rsid w:val="00932322"/>
    <w:rsid w:val="00934D66"/>
    <w:rsid w:val="0093744E"/>
    <w:rsid w:val="0095121D"/>
    <w:rsid w:val="00951756"/>
    <w:rsid w:val="009614CF"/>
    <w:rsid w:val="00967B52"/>
    <w:rsid w:val="009852A5"/>
    <w:rsid w:val="00995776"/>
    <w:rsid w:val="009A2176"/>
    <w:rsid w:val="009A3A5C"/>
    <w:rsid w:val="009B018C"/>
    <w:rsid w:val="009C0529"/>
    <w:rsid w:val="009C0C12"/>
    <w:rsid w:val="009D78FB"/>
    <w:rsid w:val="009E6CC2"/>
    <w:rsid w:val="009F51EF"/>
    <w:rsid w:val="00A02472"/>
    <w:rsid w:val="00A03E9A"/>
    <w:rsid w:val="00A048D2"/>
    <w:rsid w:val="00A32F75"/>
    <w:rsid w:val="00A33F80"/>
    <w:rsid w:val="00A34CA8"/>
    <w:rsid w:val="00A37546"/>
    <w:rsid w:val="00A5463B"/>
    <w:rsid w:val="00A837F6"/>
    <w:rsid w:val="00A84E68"/>
    <w:rsid w:val="00A90928"/>
    <w:rsid w:val="00A946E6"/>
    <w:rsid w:val="00A962E8"/>
    <w:rsid w:val="00AA1C0C"/>
    <w:rsid w:val="00AA3A30"/>
    <w:rsid w:val="00AB4042"/>
    <w:rsid w:val="00AB49C6"/>
    <w:rsid w:val="00AC253B"/>
    <w:rsid w:val="00AC636F"/>
    <w:rsid w:val="00AD1423"/>
    <w:rsid w:val="00AF4284"/>
    <w:rsid w:val="00B01AFE"/>
    <w:rsid w:val="00B07007"/>
    <w:rsid w:val="00B10487"/>
    <w:rsid w:val="00B1475B"/>
    <w:rsid w:val="00B2347E"/>
    <w:rsid w:val="00B3174C"/>
    <w:rsid w:val="00B32683"/>
    <w:rsid w:val="00B32F7E"/>
    <w:rsid w:val="00B34E67"/>
    <w:rsid w:val="00B4733F"/>
    <w:rsid w:val="00B53F14"/>
    <w:rsid w:val="00B55B1D"/>
    <w:rsid w:val="00B55E63"/>
    <w:rsid w:val="00B64B9E"/>
    <w:rsid w:val="00B65B76"/>
    <w:rsid w:val="00B738C2"/>
    <w:rsid w:val="00B85436"/>
    <w:rsid w:val="00B86E40"/>
    <w:rsid w:val="00BA1B7F"/>
    <w:rsid w:val="00BA7F6A"/>
    <w:rsid w:val="00BB60AF"/>
    <w:rsid w:val="00BC3175"/>
    <w:rsid w:val="00BC7A6B"/>
    <w:rsid w:val="00BD0236"/>
    <w:rsid w:val="00BD0300"/>
    <w:rsid w:val="00BD6772"/>
    <w:rsid w:val="00BE14DA"/>
    <w:rsid w:val="00BE3397"/>
    <w:rsid w:val="00BE4A7D"/>
    <w:rsid w:val="00BE56AA"/>
    <w:rsid w:val="00BF020F"/>
    <w:rsid w:val="00BF36B2"/>
    <w:rsid w:val="00BF5B53"/>
    <w:rsid w:val="00BF63E8"/>
    <w:rsid w:val="00C125AD"/>
    <w:rsid w:val="00C12E67"/>
    <w:rsid w:val="00C14243"/>
    <w:rsid w:val="00C142A0"/>
    <w:rsid w:val="00C20395"/>
    <w:rsid w:val="00C21B2D"/>
    <w:rsid w:val="00C27D4C"/>
    <w:rsid w:val="00C37B93"/>
    <w:rsid w:val="00C400B8"/>
    <w:rsid w:val="00C455AF"/>
    <w:rsid w:val="00C46C20"/>
    <w:rsid w:val="00C64BAF"/>
    <w:rsid w:val="00C654E5"/>
    <w:rsid w:val="00C74884"/>
    <w:rsid w:val="00C8377C"/>
    <w:rsid w:val="00C86DD3"/>
    <w:rsid w:val="00C93518"/>
    <w:rsid w:val="00CA07E4"/>
    <w:rsid w:val="00CA3A84"/>
    <w:rsid w:val="00CA3F49"/>
    <w:rsid w:val="00CA659E"/>
    <w:rsid w:val="00CC311E"/>
    <w:rsid w:val="00CD2D33"/>
    <w:rsid w:val="00CD428D"/>
    <w:rsid w:val="00D0538C"/>
    <w:rsid w:val="00D075D5"/>
    <w:rsid w:val="00D07A5E"/>
    <w:rsid w:val="00D07E87"/>
    <w:rsid w:val="00D11A2F"/>
    <w:rsid w:val="00D120F3"/>
    <w:rsid w:val="00D1329B"/>
    <w:rsid w:val="00D13A23"/>
    <w:rsid w:val="00D17140"/>
    <w:rsid w:val="00D4302D"/>
    <w:rsid w:val="00D43AFF"/>
    <w:rsid w:val="00D4612D"/>
    <w:rsid w:val="00D51CA7"/>
    <w:rsid w:val="00D60745"/>
    <w:rsid w:val="00D67326"/>
    <w:rsid w:val="00D723B9"/>
    <w:rsid w:val="00D80DDD"/>
    <w:rsid w:val="00D85CF7"/>
    <w:rsid w:val="00D950B2"/>
    <w:rsid w:val="00DA11A2"/>
    <w:rsid w:val="00DA3AE1"/>
    <w:rsid w:val="00DC100F"/>
    <w:rsid w:val="00DD2ADB"/>
    <w:rsid w:val="00E02B06"/>
    <w:rsid w:val="00E0510D"/>
    <w:rsid w:val="00E175D8"/>
    <w:rsid w:val="00E27D38"/>
    <w:rsid w:val="00E425C7"/>
    <w:rsid w:val="00E42A59"/>
    <w:rsid w:val="00E50BA0"/>
    <w:rsid w:val="00E55910"/>
    <w:rsid w:val="00E60D32"/>
    <w:rsid w:val="00E64F8D"/>
    <w:rsid w:val="00E66316"/>
    <w:rsid w:val="00E73BB0"/>
    <w:rsid w:val="00E74E6D"/>
    <w:rsid w:val="00E750E6"/>
    <w:rsid w:val="00E86F8A"/>
    <w:rsid w:val="00E93708"/>
    <w:rsid w:val="00EB177E"/>
    <w:rsid w:val="00EB61FF"/>
    <w:rsid w:val="00EB6A36"/>
    <w:rsid w:val="00EC3630"/>
    <w:rsid w:val="00EC4186"/>
    <w:rsid w:val="00ED490F"/>
    <w:rsid w:val="00EE0EFB"/>
    <w:rsid w:val="00EE211A"/>
    <w:rsid w:val="00EF655A"/>
    <w:rsid w:val="00EF7D6C"/>
    <w:rsid w:val="00F069B8"/>
    <w:rsid w:val="00F12961"/>
    <w:rsid w:val="00F133EF"/>
    <w:rsid w:val="00F1357A"/>
    <w:rsid w:val="00F17081"/>
    <w:rsid w:val="00F22966"/>
    <w:rsid w:val="00F309FE"/>
    <w:rsid w:val="00F311B0"/>
    <w:rsid w:val="00F31630"/>
    <w:rsid w:val="00F37C4D"/>
    <w:rsid w:val="00F662EF"/>
    <w:rsid w:val="00F755BD"/>
    <w:rsid w:val="00F77A69"/>
    <w:rsid w:val="00F86105"/>
    <w:rsid w:val="00F94EA9"/>
    <w:rsid w:val="00F95FC0"/>
    <w:rsid w:val="00FA2DA5"/>
    <w:rsid w:val="00FA33FE"/>
    <w:rsid w:val="00FC0801"/>
    <w:rsid w:val="00FC7D23"/>
    <w:rsid w:val="00FD0519"/>
    <w:rsid w:val="00FD105E"/>
    <w:rsid w:val="00FD2445"/>
    <w:rsid w:val="00FD2C86"/>
    <w:rsid w:val="00FE3215"/>
    <w:rsid w:val="00FF3ED8"/>
    <w:rsid w:val="026155DB"/>
    <w:rsid w:val="02D11747"/>
    <w:rsid w:val="031F2104"/>
    <w:rsid w:val="03A22A12"/>
    <w:rsid w:val="03C3723F"/>
    <w:rsid w:val="04DA06BD"/>
    <w:rsid w:val="0690193F"/>
    <w:rsid w:val="077F1302"/>
    <w:rsid w:val="07CB4D4D"/>
    <w:rsid w:val="07F615FC"/>
    <w:rsid w:val="08274D24"/>
    <w:rsid w:val="086F0C8F"/>
    <w:rsid w:val="08B5233B"/>
    <w:rsid w:val="08C84335"/>
    <w:rsid w:val="09E65C3E"/>
    <w:rsid w:val="0A3F7F58"/>
    <w:rsid w:val="0A511618"/>
    <w:rsid w:val="0A5820D6"/>
    <w:rsid w:val="0A7B36E7"/>
    <w:rsid w:val="0B031DC8"/>
    <w:rsid w:val="0D253F73"/>
    <w:rsid w:val="0E344360"/>
    <w:rsid w:val="0E6B163E"/>
    <w:rsid w:val="0F84538C"/>
    <w:rsid w:val="0FF70096"/>
    <w:rsid w:val="106C7E7C"/>
    <w:rsid w:val="116D23F1"/>
    <w:rsid w:val="13706571"/>
    <w:rsid w:val="13EE033E"/>
    <w:rsid w:val="146F24CB"/>
    <w:rsid w:val="14A74ADC"/>
    <w:rsid w:val="15355DBA"/>
    <w:rsid w:val="17EF6F88"/>
    <w:rsid w:val="18792F60"/>
    <w:rsid w:val="1B983488"/>
    <w:rsid w:val="1C4C0814"/>
    <w:rsid w:val="1D0454E0"/>
    <w:rsid w:val="1D456E14"/>
    <w:rsid w:val="1E2C58CB"/>
    <w:rsid w:val="1F287F12"/>
    <w:rsid w:val="1FFE0BF8"/>
    <w:rsid w:val="20C622A7"/>
    <w:rsid w:val="20DE312A"/>
    <w:rsid w:val="22F84329"/>
    <w:rsid w:val="249F48BF"/>
    <w:rsid w:val="25413896"/>
    <w:rsid w:val="28FD63FA"/>
    <w:rsid w:val="2A580712"/>
    <w:rsid w:val="2B7420BC"/>
    <w:rsid w:val="2C523342"/>
    <w:rsid w:val="2F276C0D"/>
    <w:rsid w:val="3170419E"/>
    <w:rsid w:val="328D5ECD"/>
    <w:rsid w:val="32B125E2"/>
    <w:rsid w:val="330A1FF2"/>
    <w:rsid w:val="333A1400"/>
    <w:rsid w:val="33BA4FF1"/>
    <w:rsid w:val="344E5D78"/>
    <w:rsid w:val="34AF23DC"/>
    <w:rsid w:val="3548377E"/>
    <w:rsid w:val="359B13FC"/>
    <w:rsid w:val="3617589F"/>
    <w:rsid w:val="36724CC3"/>
    <w:rsid w:val="371123C8"/>
    <w:rsid w:val="37213B97"/>
    <w:rsid w:val="37C84551"/>
    <w:rsid w:val="385A76E1"/>
    <w:rsid w:val="3A892DDE"/>
    <w:rsid w:val="3ADB3E4F"/>
    <w:rsid w:val="3C8D3153"/>
    <w:rsid w:val="3CD62B0A"/>
    <w:rsid w:val="3FF8227E"/>
    <w:rsid w:val="405939F3"/>
    <w:rsid w:val="43061A7C"/>
    <w:rsid w:val="444264BA"/>
    <w:rsid w:val="449F1871"/>
    <w:rsid w:val="45271601"/>
    <w:rsid w:val="45383E1E"/>
    <w:rsid w:val="45884DF0"/>
    <w:rsid w:val="45DA040B"/>
    <w:rsid w:val="4659309A"/>
    <w:rsid w:val="46D23CE7"/>
    <w:rsid w:val="483C78AA"/>
    <w:rsid w:val="48500C2F"/>
    <w:rsid w:val="49726A28"/>
    <w:rsid w:val="49CD0FA8"/>
    <w:rsid w:val="4A716119"/>
    <w:rsid w:val="4AB56DAE"/>
    <w:rsid w:val="4B8C1580"/>
    <w:rsid w:val="4C067784"/>
    <w:rsid w:val="4C397865"/>
    <w:rsid w:val="4DE52920"/>
    <w:rsid w:val="4DF01B05"/>
    <w:rsid w:val="4E9A74B9"/>
    <w:rsid w:val="4F732978"/>
    <w:rsid w:val="50B90F5D"/>
    <w:rsid w:val="50BC5616"/>
    <w:rsid w:val="52B62524"/>
    <w:rsid w:val="54373A3E"/>
    <w:rsid w:val="550247FD"/>
    <w:rsid w:val="55472CBE"/>
    <w:rsid w:val="55857E8F"/>
    <w:rsid w:val="55A961EB"/>
    <w:rsid w:val="56757557"/>
    <w:rsid w:val="56F82C09"/>
    <w:rsid w:val="58542E88"/>
    <w:rsid w:val="58592383"/>
    <w:rsid w:val="586407D1"/>
    <w:rsid w:val="58C109CE"/>
    <w:rsid w:val="5AD456BF"/>
    <w:rsid w:val="5ADB6038"/>
    <w:rsid w:val="5B4C5F5E"/>
    <w:rsid w:val="5B710F23"/>
    <w:rsid w:val="5BB0571B"/>
    <w:rsid w:val="5BC05CEE"/>
    <w:rsid w:val="5CDC7ED3"/>
    <w:rsid w:val="5E723AA7"/>
    <w:rsid w:val="5EB17F74"/>
    <w:rsid w:val="5EC45C94"/>
    <w:rsid w:val="5F5B787D"/>
    <w:rsid w:val="5FD40AB4"/>
    <w:rsid w:val="5FF67C26"/>
    <w:rsid w:val="60BE42C3"/>
    <w:rsid w:val="61744F97"/>
    <w:rsid w:val="61AC4B39"/>
    <w:rsid w:val="61BD4B1B"/>
    <w:rsid w:val="62557CA3"/>
    <w:rsid w:val="627D050B"/>
    <w:rsid w:val="638422ED"/>
    <w:rsid w:val="644B2CD1"/>
    <w:rsid w:val="646E7026"/>
    <w:rsid w:val="64DA599D"/>
    <w:rsid w:val="653220DC"/>
    <w:rsid w:val="65BF7949"/>
    <w:rsid w:val="664A7A0D"/>
    <w:rsid w:val="66B54F85"/>
    <w:rsid w:val="66E221B9"/>
    <w:rsid w:val="67BD61B0"/>
    <w:rsid w:val="68381C3B"/>
    <w:rsid w:val="6909390C"/>
    <w:rsid w:val="6A093F01"/>
    <w:rsid w:val="6B486470"/>
    <w:rsid w:val="6BA03D9F"/>
    <w:rsid w:val="6C3D59B9"/>
    <w:rsid w:val="6CCC52E6"/>
    <w:rsid w:val="6CE4322F"/>
    <w:rsid w:val="6DD77798"/>
    <w:rsid w:val="6E34751D"/>
    <w:rsid w:val="6EA5391C"/>
    <w:rsid w:val="6ECE7556"/>
    <w:rsid w:val="70E0010F"/>
    <w:rsid w:val="72545E2D"/>
    <w:rsid w:val="73505624"/>
    <w:rsid w:val="73536EF8"/>
    <w:rsid w:val="73F85FE0"/>
    <w:rsid w:val="772B48F9"/>
    <w:rsid w:val="77626B74"/>
    <w:rsid w:val="78560DC9"/>
    <w:rsid w:val="78D42D3B"/>
    <w:rsid w:val="78F16A53"/>
    <w:rsid w:val="794F3BE5"/>
    <w:rsid w:val="7A030F47"/>
    <w:rsid w:val="7A381E73"/>
    <w:rsid w:val="7BF129CD"/>
    <w:rsid w:val="7DB34B7E"/>
    <w:rsid w:val="7DB45E71"/>
    <w:rsid w:val="7EA96C28"/>
    <w:rsid w:val="7F7D4CFA"/>
    <w:rsid w:val="F9EF589B"/>
    <w:rsid w:val="FB6F3DDD"/>
    <w:rsid w:val="FD6F3410"/>
    <w:rsid w:val="FDF55E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33"/>
    <w:qFormat/>
    <w:uiPriority w:val="0"/>
    <w:pPr>
      <w:jc w:val="left"/>
    </w:pPr>
  </w:style>
  <w:style w:type="paragraph" w:styleId="6">
    <w:name w:val="Balloon Text"/>
    <w:basedOn w:val="1"/>
    <w:link w:val="35"/>
    <w:semiHidden/>
    <w:unhideWhenUsed/>
    <w:qFormat/>
    <w:uiPriority w:val="0"/>
    <w:rPr>
      <w:rFonts w:ascii="宋体" w:eastAsia="宋体"/>
      <w:sz w:val="18"/>
      <w:szCs w:val="18"/>
    </w:rPr>
  </w:style>
  <w:style w:type="paragraph" w:styleId="7">
    <w:name w:val="footer"/>
    <w:basedOn w:val="1"/>
    <w:link w:val="26"/>
    <w:qFormat/>
    <w:uiPriority w:val="99"/>
    <w:pPr>
      <w:tabs>
        <w:tab w:val="center" w:pos="4153"/>
        <w:tab w:val="right" w:pos="8306"/>
      </w:tabs>
      <w:snapToGrid w:val="0"/>
      <w:jc w:val="left"/>
    </w:pPr>
    <w:rPr>
      <w:sz w:val="18"/>
    </w:rPr>
  </w:style>
  <w:style w:type="paragraph" w:styleId="8">
    <w:name w:val="header"/>
    <w:basedOn w:val="1"/>
    <w:link w:val="2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qFormat/>
    <w:uiPriority w:val="99"/>
    <w:pPr>
      <w:spacing w:beforeAutospacing="1" w:afterAutospacing="1"/>
      <w:jc w:val="left"/>
    </w:pPr>
    <w:rPr>
      <w:rFonts w:cs="Times New Roman"/>
      <w:kern w:val="0"/>
      <w:sz w:val="24"/>
      <w:szCs w:val="24"/>
    </w:rPr>
  </w:style>
  <w:style w:type="paragraph" w:styleId="12">
    <w:name w:val="Title"/>
    <w:basedOn w:val="1"/>
    <w:next w:val="1"/>
    <w:link w:val="24"/>
    <w:qFormat/>
    <w:uiPriority w:val="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5"/>
    <w:next w:val="5"/>
    <w:link w:val="34"/>
    <w:qFormat/>
    <w:uiPriority w:val="0"/>
    <w:rPr>
      <w:b/>
      <w:bCs/>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22"/>
    <w:rPr>
      <w:b/>
      <w:bCs/>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qFormat/>
    <w:uiPriority w:val="0"/>
    <w:rPr>
      <w:sz w:val="21"/>
      <w:szCs w:val="21"/>
    </w:rPr>
  </w:style>
  <w:style w:type="paragraph" w:customStyle="1" w:styleId="20">
    <w:name w:val="msolistparagraph"/>
    <w:basedOn w:val="1"/>
    <w:qFormat/>
    <w:uiPriority w:val="0"/>
    <w:pPr>
      <w:ind w:firstLine="420" w:firstLineChars="200"/>
    </w:pPr>
    <w:rPr>
      <w:rFonts w:hint="eastAsia" w:ascii="等线" w:hAnsi="等线" w:eastAsia="等线" w:cs="Times New Roman"/>
    </w:rPr>
  </w:style>
  <w:style w:type="paragraph" w:styleId="21">
    <w:name w:val="List Paragraph"/>
    <w:basedOn w:val="1"/>
    <w:qFormat/>
    <w:uiPriority w:val="34"/>
    <w:pPr>
      <w:ind w:firstLine="420" w:firstLineChars="200"/>
    </w:pPr>
  </w:style>
  <w:style w:type="paragraph" w:customStyle="1" w:styleId="22">
    <w:name w:val="WPSOffice手动目录 1"/>
    <w:qFormat/>
    <w:uiPriority w:val="0"/>
    <w:rPr>
      <w:rFonts w:ascii="等线" w:hAnsi="等线" w:eastAsia="等线" w:cs="Times New Roman"/>
      <w:lang w:val="en-US" w:eastAsia="zh-CN" w:bidi="ar-SA"/>
    </w:rPr>
  </w:style>
  <w:style w:type="paragraph" w:customStyle="1" w:styleId="2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24">
    <w:name w:val="标题 字符"/>
    <w:basedOn w:val="16"/>
    <w:link w:val="12"/>
    <w:qFormat/>
    <w:uiPriority w:val="0"/>
    <w:rPr>
      <w:rFonts w:asciiTheme="majorHAnsi" w:hAnsiTheme="majorHAnsi" w:eastAsiaTheme="majorEastAsia" w:cstheme="majorBidi"/>
      <w:b/>
      <w:bCs/>
      <w:kern w:val="2"/>
      <w:sz w:val="32"/>
      <w:szCs w:val="32"/>
    </w:rPr>
  </w:style>
  <w:style w:type="character" w:customStyle="1" w:styleId="25">
    <w:name w:val="页眉 字符"/>
    <w:basedOn w:val="16"/>
    <w:link w:val="8"/>
    <w:qFormat/>
    <w:uiPriority w:val="99"/>
    <w:rPr>
      <w:rFonts w:asciiTheme="minorHAnsi" w:hAnsiTheme="minorHAnsi" w:eastAsiaTheme="minorEastAsia" w:cstheme="minorBidi"/>
      <w:kern w:val="2"/>
      <w:sz w:val="18"/>
      <w:szCs w:val="22"/>
    </w:rPr>
  </w:style>
  <w:style w:type="character" w:customStyle="1" w:styleId="26">
    <w:name w:val="页脚 字符"/>
    <w:basedOn w:val="16"/>
    <w:link w:val="7"/>
    <w:qFormat/>
    <w:uiPriority w:val="99"/>
    <w:rPr>
      <w:rFonts w:asciiTheme="minorHAnsi" w:hAnsiTheme="minorHAnsi" w:eastAsiaTheme="minorEastAsia" w:cstheme="minorBidi"/>
      <w:kern w:val="2"/>
      <w:sz w:val="18"/>
      <w:szCs w:val="22"/>
    </w:rPr>
  </w:style>
  <w:style w:type="paragraph" w:styleId="27">
    <w:name w:val="No Spacing"/>
    <w:link w:val="28"/>
    <w:qFormat/>
    <w:uiPriority w:val="1"/>
    <w:rPr>
      <w:rFonts w:asciiTheme="minorHAnsi" w:hAnsiTheme="minorHAnsi" w:eastAsiaTheme="minorEastAsia" w:cstheme="minorBidi"/>
      <w:sz w:val="22"/>
      <w:szCs w:val="22"/>
      <w:lang w:val="en-US" w:eastAsia="zh-CN" w:bidi="ar-SA"/>
    </w:rPr>
  </w:style>
  <w:style w:type="character" w:customStyle="1" w:styleId="28">
    <w:name w:val="无间隔 字符"/>
    <w:basedOn w:val="16"/>
    <w:link w:val="27"/>
    <w:qFormat/>
    <w:uiPriority w:val="1"/>
    <w:rPr>
      <w:rFonts w:asciiTheme="minorHAnsi" w:hAnsiTheme="minorHAnsi" w:eastAsiaTheme="minorEastAsia" w:cstheme="minorBidi"/>
      <w:sz w:val="22"/>
      <w:szCs w:val="22"/>
    </w:rPr>
  </w:style>
  <w:style w:type="character" w:customStyle="1" w:styleId="29">
    <w:name w:val="标题 1 字符"/>
    <w:basedOn w:val="16"/>
    <w:link w:val="2"/>
    <w:qFormat/>
    <w:uiPriority w:val="0"/>
    <w:rPr>
      <w:rFonts w:asciiTheme="minorHAnsi" w:hAnsiTheme="minorHAnsi" w:eastAsiaTheme="minorEastAsia" w:cstheme="minorBidi"/>
      <w:b/>
      <w:kern w:val="44"/>
      <w:sz w:val="44"/>
      <w:szCs w:val="22"/>
    </w:rPr>
  </w:style>
  <w:style w:type="paragraph" w:customStyle="1" w:styleId="30">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1">
    <w:name w:val="未处理的提及1"/>
    <w:basedOn w:val="16"/>
    <w:semiHidden/>
    <w:unhideWhenUsed/>
    <w:qFormat/>
    <w:uiPriority w:val="99"/>
    <w:rPr>
      <w:color w:val="605E5C"/>
      <w:shd w:val="clear" w:color="auto" w:fill="E1DFDD"/>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批注文字 字符"/>
    <w:basedOn w:val="16"/>
    <w:link w:val="5"/>
    <w:qFormat/>
    <w:uiPriority w:val="0"/>
    <w:rPr>
      <w:rFonts w:asciiTheme="minorHAnsi" w:hAnsiTheme="minorHAnsi" w:eastAsiaTheme="minorEastAsia" w:cstheme="minorBidi"/>
      <w:kern w:val="2"/>
      <w:sz w:val="21"/>
      <w:szCs w:val="22"/>
    </w:rPr>
  </w:style>
  <w:style w:type="character" w:customStyle="1" w:styleId="34">
    <w:name w:val="批注主题 字符"/>
    <w:basedOn w:val="33"/>
    <w:link w:val="13"/>
    <w:qFormat/>
    <w:uiPriority w:val="0"/>
    <w:rPr>
      <w:rFonts w:asciiTheme="minorHAnsi" w:hAnsiTheme="minorHAnsi" w:eastAsiaTheme="minorEastAsia" w:cstheme="minorBidi"/>
      <w:b/>
      <w:bCs/>
      <w:kern w:val="2"/>
      <w:sz w:val="21"/>
      <w:szCs w:val="22"/>
    </w:rPr>
  </w:style>
  <w:style w:type="character" w:customStyle="1" w:styleId="35">
    <w:name w:val="批注框文本 字符"/>
    <w:basedOn w:val="16"/>
    <w:link w:val="6"/>
    <w:semiHidden/>
    <w:qFormat/>
    <w:uiPriority w:val="0"/>
    <w:rPr>
      <w:rFonts w:ascii="宋体" w:eastAsia="宋体" w:hAnsiTheme="minorHAnsi" w:cstheme="minorBidi"/>
      <w:kern w:val="2"/>
      <w:sz w:val="18"/>
      <w:szCs w:val="18"/>
    </w:rPr>
  </w:style>
  <w:style w:type="paragraph" w:customStyle="1" w:styleId="36">
    <w:name w:val="TOC 标题3"/>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7">
    <w:name w:val="未处理的提及2"/>
    <w:basedOn w:val="16"/>
    <w:semiHidden/>
    <w:unhideWhenUsed/>
    <w:qFormat/>
    <w:uiPriority w:val="99"/>
    <w:rPr>
      <w:color w:val="605E5C"/>
      <w:shd w:val="clear" w:color="auto" w:fill="E1DFDD"/>
    </w:rPr>
  </w:style>
  <w:style w:type="paragraph" w:customStyle="1" w:styleId="38">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EB4DF5-D0F5-BE41-B3B9-3BF58EED0DC7}">
  <ds:schemaRefs/>
</ds:datastoreItem>
</file>

<file path=docProps/app.xml><?xml version="1.0" encoding="utf-8"?>
<Properties xmlns="http://schemas.openxmlformats.org/officeDocument/2006/extended-properties" xmlns:vt="http://schemas.openxmlformats.org/officeDocument/2006/docPropsVTypes">
  <Template>Normal.dotm</Template>
  <Pages>6</Pages>
  <Words>830</Words>
  <Characters>1103</Characters>
  <Lines>1</Lines>
  <Paragraphs>1</Paragraphs>
  <TotalTime>18</TotalTime>
  <ScaleCrop>false</ScaleCrop>
  <LinksUpToDate>false</LinksUpToDate>
  <CharactersWithSpaces>1166</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2021-06-30T07:36:00Z</dcterms:created>
  <dc:creator>咕咕</dc:creator>
  <cp:lastModifiedBy>Administrator</cp:lastModifiedBy>
  <cp:lastPrinted>2021-04-07T01:44:00Z</cp:lastPrinted>
  <dcterms:modified xsi:type="dcterms:W3CDTF">2021-12-16T08:58:44Z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y fmtid="{D5CDD505-2E9C-101B-9397-08002B2CF9AE}" pid="3" name="ICV">
    <vt:lpwstr>41EDE07C069441FFAE1B2CEB1B63426A</vt:lpwstr>
  </property>
</Properties>
</file>